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D1" w:rsidRDefault="000F38D1" w:rsidP="000F38D1">
      <w:pPr>
        <w:pStyle w:val="Head1"/>
      </w:pPr>
      <w:bookmarkStart w:id="0" w:name="_Toc297913214"/>
      <w:r w:rsidRPr="00B14669">
        <w:t>Evidence-Based Strategies to</w:t>
      </w:r>
      <w:r w:rsidRPr="00B14669">
        <w:rPr>
          <w:lang w:bidi="en-US"/>
        </w:rPr>
        <w:t xml:space="preserve"> Reduce </w:t>
      </w:r>
      <w:r>
        <w:rPr>
          <w:lang w:bidi="en-US"/>
        </w:rPr>
        <w:t>Underage Alcohol C</w:t>
      </w:r>
      <w:r w:rsidRPr="00B14669">
        <w:rPr>
          <w:lang w:bidi="en-US"/>
        </w:rPr>
        <w:t>onsumption</w:t>
      </w:r>
      <w:bookmarkEnd w:id="0"/>
    </w:p>
    <w:p w:rsidR="000F38D1" w:rsidRPr="006313A6" w:rsidRDefault="000F38D1" w:rsidP="000F38D1">
      <w:pPr>
        <w:pStyle w:val="Note"/>
        <w:rPr>
          <w:b/>
        </w:rPr>
      </w:pPr>
      <w:r w:rsidRPr="006313A6">
        <w:rPr>
          <w:b/>
        </w:rPr>
        <w:t>Notes:</w:t>
      </w:r>
    </w:p>
    <w:p w:rsidR="000F38D1" w:rsidRPr="000D071D" w:rsidRDefault="000F38D1" w:rsidP="000F38D1">
      <w:pPr>
        <w:pStyle w:val="Note"/>
        <w:numPr>
          <w:ilvl w:val="0"/>
          <w:numId w:val="1"/>
        </w:numPr>
        <w:rPr>
          <w:rFonts w:cs="Calibri"/>
        </w:rPr>
      </w:pPr>
      <w:r w:rsidRPr="000D071D">
        <w:rPr>
          <w:rFonts w:cs="Calibri"/>
        </w:rPr>
        <w:t>Many good and fairly comprehensive lists of evidence-based strategies to address underage drinking are available online.</w:t>
      </w:r>
    </w:p>
    <w:p w:rsidR="000F38D1" w:rsidRPr="000D071D" w:rsidRDefault="000F38D1" w:rsidP="000F38D1">
      <w:pPr>
        <w:pStyle w:val="Note"/>
        <w:numPr>
          <w:ilvl w:val="0"/>
          <w:numId w:val="1"/>
        </w:numPr>
        <w:rPr>
          <w:rFonts w:cs="Calibri"/>
        </w:rPr>
      </w:pPr>
      <w:r>
        <w:rPr>
          <w:rFonts w:cs="Times New Roman"/>
        </w:rPr>
        <w:t>The resource</w:t>
      </w:r>
      <w:r w:rsidRPr="000D071D">
        <w:rPr>
          <w:rFonts w:cs="Times New Roman"/>
        </w:rPr>
        <w:t xml:space="preserve"> featured here—</w:t>
      </w:r>
      <w:r w:rsidRPr="000D071D">
        <w:rPr>
          <w:rFonts w:cs="Calibri"/>
          <w:i/>
          <w:iCs/>
        </w:rPr>
        <w:t>Catalog of Environmental Prevention Strategies</w:t>
      </w:r>
      <w:r>
        <w:rPr>
          <w:rFonts w:cs="Calibri"/>
          <w:iCs/>
        </w:rPr>
        <w:t>,</w:t>
      </w:r>
      <w:r w:rsidRPr="000D071D">
        <w:rPr>
          <w:rFonts w:cs="Calibri"/>
        </w:rPr>
        <w:t xml:space="preserve"> created by the </w:t>
      </w:r>
      <w:r w:rsidRPr="000D071D">
        <w:rPr>
          <w:rFonts w:cs="Arial"/>
        </w:rPr>
        <w:t>Wyoming Survey &amp; Analysis Center at the University of Wyoming</w:t>
      </w:r>
      <w:r w:rsidRPr="000D071D">
        <w:rPr>
          <w:rFonts w:cs="Calibri"/>
        </w:rPr>
        <w:t>—is an excellent starting point; it covers the most strategies and reviews the most research of any resource we’ve found</w:t>
      </w:r>
      <w:r>
        <w:rPr>
          <w:rFonts w:cs="Calibri"/>
        </w:rPr>
        <w:t>, and it</w:t>
      </w:r>
      <w:r w:rsidRPr="000D071D">
        <w:rPr>
          <w:rFonts w:cs="Calibri"/>
        </w:rPr>
        <w:t xml:space="preserve"> includes strategies appropriate for higher education settings. However, it represents neither an exhaustive nor a mandated list of strategies.</w:t>
      </w:r>
    </w:p>
    <w:p w:rsidR="000F38D1" w:rsidRDefault="000F38D1" w:rsidP="000F38D1">
      <w:pPr>
        <w:pStyle w:val="Note"/>
        <w:numPr>
          <w:ilvl w:val="0"/>
          <w:numId w:val="1"/>
        </w:numPr>
        <w:rPr>
          <w:rFonts w:cs="Calibri"/>
        </w:rPr>
      </w:pPr>
      <w:r w:rsidRPr="000D071D">
        <w:rPr>
          <w:rFonts w:cs="Calibri"/>
        </w:rPr>
        <w:t xml:space="preserve">Communities should </w:t>
      </w:r>
      <w:r>
        <w:rPr>
          <w:rFonts w:cs="Calibri"/>
        </w:rPr>
        <w:t xml:space="preserve">be sure to </w:t>
      </w:r>
      <w:r w:rsidRPr="000D071D">
        <w:rPr>
          <w:rFonts w:cs="Calibri"/>
        </w:rPr>
        <w:t>discuss potential strategies with their TA providers.</w:t>
      </w:r>
    </w:p>
    <w:p w:rsidR="000F38D1" w:rsidRPr="00494505" w:rsidRDefault="000F38D1" w:rsidP="000F38D1">
      <w:pPr>
        <w:pStyle w:val="Note"/>
        <w:numPr>
          <w:ilvl w:val="0"/>
          <w:numId w:val="1"/>
        </w:numPr>
        <w:rPr>
          <w:rFonts w:cs="Calibri"/>
        </w:rPr>
      </w:pPr>
      <w:r w:rsidRPr="00494505">
        <w:t>For your reference, we have included the table of contents (which lists the strategies reviewed in this guide) and the guidance pages on how to use the catalogue. The full text of</w:t>
      </w:r>
      <w:r>
        <w:t xml:space="preserve"> the document can be found </w:t>
      </w:r>
      <w:hyperlink r:id="rId5" w:history="1">
        <w:r w:rsidRPr="00922380">
          <w:rPr>
            <w:rStyle w:val="Hyperlink"/>
          </w:rPr>
          <w:t>he</w:t>
        </w:r>
        <w:bookmarkStart w:id="1" w:name="_GoBack"/>
        <w:bookmarkEnd w:id="1"/>
        <w:r w:rsidRPr="00922380">
          <w:rPr>
            <w:rStyle w:val="Hyperlink"/>
          </w:rPr>
          <w:t>r</w:t>
        </w:r>
        <w:r w:rsidRPr="00922380">
          <w:rPr>
            <w:rStyle w:val="Hyperlink"/>
          </w:rPr>
          <w:t>e</w:t>
        </w:r>
      </w:hyperlink>
      <w:r>
        <w:t>.</w:t>
      </w:r>
      <w:r w:rsidRPr="00494505">
        <w:rPr>
          <w:rFonts w:cs="Arial"/>
        </w:rPr>
        <w:t xml:space="preserve"> </w:t>
      </w:r>
    </w:p>
    <w:p w:rsidR="000F38D1" w:rsidRDefault="000F38D1" w:rsidP="000F38D1">
      <w:r>
        <w:rPr>
          <w:i/>
          <w:noProof/>
        </w:rPr>
        <mc:AlternateContent>
          <mc:Choice Requires="wps">
            <w:drawing>
              <wp:anchor distT="0" distB="0" distL="114300" distR="114300" simplePos="0" relativeHeight="251659264" behindDoc="0" locked="0" layoutInCell="1" allowOverlap="1" wp14:anchorId="4A82E0EB" wp14:editId="19FB7050">
                <wp:simplePos x="0" y="0"/>
                <wp:positionH relativeFrom="column">
                  <wp:posOffset>800100</wp:posOffset>
                </wp:positionH>
                <wp:positionV relativeFrom="paragraph">
                  <wp:posOffset>93345</wp:posOffset>
                </wp:positionV>
                <wp:extent cx="3886200" cy="411480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3886200" cy="411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F38D1" w:rsidRDefault="000F38D1" w:rsidP="000F38D1">
                            <w:pPr>
                              <w:pBdr>
                                <w:top w:val="single" w:sz="4" w:space="1" w:color="auto"/>
                                <w:left w:val="single" w:sz="4" w:space="4" w:color="auto"/>
                                <w:bottom w:val="single" w:sz="4" w:space="1" w:color="auto"/>
                                <w:right w:val="single" w:sz="4" w:space="0" w:color="auto"/>
                              </w:pBdr>
                              <w:jc w:val="center"/>
                            </w:pPr>
                            <w:r>
                              <w:rPr>
                                <w:noProof/>
                              </w:rPr>
                              <w:drawing>
                                <wp:inline distT="0" distB="0" distL="0" distR="0" wp14:anchorId="3AE8579F" wp14:editId="7E7633B1">
                                  <wp:extent cx="3189771" cy="3657600"/>
                                  <wp:effectExtent l="0" t="0" r="10795" b="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11515"/>
                                          <a:stretch/>
                                        </pic:blipFill>
                                        <pic:spPr bwMode="auto">
                                          <a:xfrm>
                                            <a:off x="0" y="0"/>
                                            <a:ext cx="3189771" cy="36576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2E0EB" id="_x0000_t202" coordsize="21600,21600" o:spt="202" path="m,l,21600r21600,l21600,xe">
                <v:stroke joinstyle="miter"/>
                <v:path gradientshapeok="t" o:connecttype="rect"/>
              </v:shapetype>
              <v:shape id="Text Box 52" o:spid="_x0000_s1026" type="#_x0000_t202" style="position:absolute;margin-left:63pt;margin-top:7.35pt;width:30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1nqwIAAKY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" filled="f" stroked="f">
                <v:textbox>
                  <w:txbxContent>
                    <w:p w:rsidR="000F38D1" w:rsidRDefault="000F38D1" w:rsidP="000F38D1">
                      <w:pPr>
                        <w:pBdr>
                          <w:top w:val="single" w:sz="4" w:space="1" w:color="auto"/>
                          <w:left w:val="single" w:sz="4" w:space="4" w:color="auto"/>
                          <w:bottom w:val="single" w:sz="4" w:space="1" w:color="auto"/>
                          <w:right w:val="single" w:sz="4" w:space="0" w:color="auto"/>
                        </w:pBdr>
                        <w:jc w:val="center"/>
                      </w:pPr>
                      <w:r>
                        <w:rPr>
                          <w:noProof/>
                        </w:rPr>
                        <w:drawing>
                          <wp:inline distT="0" distB="0" distL="0" distR="0" wp14:anchorId="3AE8579F" wp14:editId="7E7633B1">
                            <wp:extent cx="3189771" cy="3657600"/>
                            <wp:effectExtent l="0" t="0" r="10795" b="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11515"/>
                                    <a:stretch/>
                                  </pic:blipFill>
                                  <pic:spPr bwMode="auto">
                                    <a:xfrm>
                                      <a:off x="0" y="0"/>
                                      <a:ext cx="3189771" cy="36576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Default="000F38D1" w:rsidP="000F38D1">
      <w:pPr>
        <w:pStyle w:val="body"/>
        <w:rPr>
          <w:rFonts w:asciiTheme="minorHAnsi" w:hAnsiTheme="minorHAnsi"/>
          <w:i/>
        </w:rPr>
      </w:pPr>
    </w:p>
    <w:p w:rsidR="000F38D1" w:rsidRPr="00F03DA1" w:rsidRDefault="000F38D1" w:rsidP="000F38D1">
      <w:pPr>
        <w:pStyle w:val="body"/>
        <w:rPr>
          <w:rFonts w:asciiTheme="minorHAnsi" w:hAnsiTheme="minorHAnsi" w:cs="Arial"/>
          <w:color w:val="0000FF"/>
          <w:sz w:val="20"/>
          <w:szCs w:val="20"/>
          <w:u w:val="single" w:color="0000FF"/>
        </w:rPr>
      </w:pPr>
      <w:r w:rsidRPr="00F03DA1">
        <w:rPr>
          <w:rFonts w:asciiTheme="minorHAnsi" w:hAnsiTheme="minorHAnsi"/>
          <w:sz w:val="20"/>
          <w:szCs w:val="20"/>
        </w:rPr>
        <w:t xml:space="preserve">From </w:t>
      </w:r>
      <w:r w:rsidRPr="00F03DA1">
        <w:rPr>
          <w:rFonts w:asciiTheme="minorHAnsi" w:hAnsiTheme="minorHAnsi"/>
          <w:i/>
          <w:sz w:val="20"/>
          <w:szCs w:val="20"/>
        </w:rPr>
        <w:t>Catalog of Environmental Prevention Strategies</w:t>
      </w:r>
      <w:r w:rsidRPr="00F03DA1">
        <w:rPr>
          <w:rFonts w:asciiTheme="minorHAnsi" w:hAnsiTheme="minorHAnsi"/>
          <w:sz w:val="20"/>
          <w:szCs w:val="20"/>
        </w:rPr>
        <w:t xml:space="preserve"> by H. Costello, N.</w:t>
      </w:r>
      <w:r>
        <w:rPr>
          <w:rFonts w:asciiTheme="minorHAnsi" w:hAnsiTheme="minorHAnsi"/>
          <w:sz w:val="20"/>
          <w:szCs w:val="20"/>
        </w:rPr>
        <w:t xml:space="preserve"> </w:t>
      </w:r>
      <w:r w:rsidRPr="00F03DA1">
        <w:rPr>
          <w:rFonts w:asciiTheme="minorHAnsi" w:hAnsiTheme="minorHAnsi"/>
          <w:sz w:val="20"/>
          <w:szCs w:val="20"/>
        </w:rPr>
        <w:t xml:space="preserve">M. Nelson, K. Henry, </w:t>
      </w:r>
      <w:r>
        <w:rPr>
          <w:rFonts w:asciiTheme="minorHAnsi" w:hAnsiTheme="minorHAnsi"/>
          <w:sz w:val="20"/>
          <w:szCs w:val="20"/>
        </w:rPr>
        <w:t>and</w:t>
      </w:r>
      <w:r w:rsidRPr="00F03DA1">
        <w:rPr>
          <w:rFonts w:asciiTheme="minorHAnsi" w:hAnsiTheme="minorHAnsi"/>
          <w:sz w:val="20"/>
          <w:szCs w:val="20"/>
        </w:rPr>
        <w:t xml:space="preserve"> K.</w:t>
      </w:r>
      <w:r>
        <w:rPr>
          <w:rFonts w:asciiTheme="minorHAnsi" w:hAnsiTheme="minorHAnsi"/>
          <w:sz w:val="20"/>
          <w:szCs w:val="20"/>
        </w:rPr>
        <w:t xml:space="preserve"> </w:t>
      </w:r>
      <w:r w:rsidRPr="00F03DA1">
        <w:rPr>
          <w:rFonts w:asciiTheme="minorHAnsi" w:hAnsiTheme="minorHAnsi"/>
          <w:sz w:val="20"/>
          <w:szCs w:val="20"/>
        </w:rPr>
        <w:t xml:space="preserve">S. Freedman (2012). WYSAC Report DER-1248. Laramie, WY: Wyoming Survey &amp; Analysis Center, University of Wyoming. </w:t>
      </w:r>
    </w:p>
    <w:p w:rsidR="00E24382" w:rsidRDefault="00E24382"/>
    <w:sectPr w:rsidR="00E2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75EEB"/>
    <w:multiLevelType w:val="hybridMultilevel"/>
    <w:tmpl w:val="589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D1"/>
    <w:rsid w:val="000F38D1"/>
    <w:rsid w:val="00AB4EEE"/>
    <w:rsid w:val="00E2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6CA7F-7278-4FA8-9E5B-5B67DEAF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8D1"/>
    <w:rPr>
      <w:color w:val="0563C1" w:themeColor="hyperlink"/>
      <w:u w:val="single"/>
    </w:rPr>
  </w:style>
  <w:style w:type="paragraph" w:customStyle="1" w:styleId="Head1">
    <w:name w:val="Head 1"/>
    <w:basedOn w:val="Normal"/>
    <w:qFormat/>
    <w:rsid w:val="000F38D1"/>
    <w:pPr>
      <w:spacing w:after="180"/>
    </w:pPr>
    <w:rPr>
      <w:b/>
      <w:bCs/>
      <w:smallCaps/>
      <w:sz w:val="32"/>
      <w:szCs w:val="24"/>
    </w:rPr>
  </w:style>
  <w:style w:type="paragraph" w:customStyle="1" w:styleId="Note">
    <w:name w:val="Note"/>
    <w:basedOn w:val="Normal"/>
    <w:qFormat/>
    <w:rsid w:val="000F38D1"/>
    <w:pPr>
      <w:spacing w:before="100" w:after="100"/>
      <w:ind w:left="360"/>
    </w:pPr>
  </w:style>
  <w:style w:type="paragraph" w:customStyle="1" w:styleId="body">
    <w:name w:val="body"/>
    <w:basedOn w:val="Normal"/>
    <w:rsid w:val="000F38D1"/>
    <w:rPr>
      <w:rFonts w:ascii="Calibri" w:eastAsia="Times New Roman" w:hAnsi="Calibri" w:cs="Times New Roman"/>
      <w:bCs/>
      <w:lang w:bidi="en-US"/>
    </w:rPr>
  </w:style>
  <w:style w:type="character" w:styleId="FollowedHyperlink">
    <w:name w:val="FollowedHyperlink"/>
    <w:basedOn w:val="DefaultParagraphFont"/>
    <w:uiPriority w:val="99"/>
    <w:semiHidden/>
    <w:unhideWhenUsed/>
    <w:rsid w:val="00AB4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wishschools.org/resources/Catalog%20of%20Environmental%20Prevention%20Strategies_Final4%20Wyoming.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2</cp:revision>
  <dcterms:created xsi:type="dcterms:W3CDTF">2016-02-24T20:19:00Z</dcterms:created>
  <dcterms:modified xsi:type="dcterms:W3CDTF">2016-02-24T20:19:00Z</dcterms:modified>
</cp:coreProperties>
</file>