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C59" w:rsidRDefault="00927C59" w:rsidP="00927C59">
      <w:pPr>
        <w:pStyle w:val="Head1"/>
        <w:rPr>
          <w:lang w:bidi="en-US"/>
        </w:rPr>
      </w:pPr>
      <w:r>
        <w:t>Risk and Protective Factor Data Organizer</w:t>
      </w:r>
    </w:p>
    <w:p w:rsidR="00927C59" w:rsidRDefault="00927C59" w:rsidP="00927C59">
      <w:pPr>
        <w:pStyle w:val="Note"/>
      </w:pPr>
      <w:r w:rsidRPr="00BC6705">
        <w:rPr>
          <w:b/>
        </w:rPr>
        <w:t xml:space="preserve">Note: </w:t>
      </w:r>
      <w:r>
        <w:t xml:space="preserve">This tool was adapted from </w:t>
      </w:r>
      <w:r w:rsidRPr="00D24955">
        <w:t xml:space="preserve">Rhode Island </w:t>
      </w:r>
      <w:r w:rsidRPr="005A4792">
        <w:t xml:space="preserve">State Epidemiology and Outcomes Workgroup, </w:t>
      </w:r>
      <w:proofErr w:type="spellStart"/>
      <w:r w:rsidRPr="005A4792">
        <w:t>Buka</w:t>
      </w:r>
      <w:proofErr w:type="spellEnd"/>
      <w:r w:rsidRPr="005A4792">
        <w:t xml:space="preserve">, </w:t>
      </w:r>
      <w:r>
        <w:t>and</w:t>
      </w:r>
      <w:r w:rsidRPr="005A4792">
        <w:t xml:space="preserve"> Rosenthal</w:t>
      </w:r>
      <w:r>
        <w:t>.</w:t>
      </w:r>
      <w:r w:rsidRPr="008F5C39">
        <w:rPr>
          <w:vertAlign w:val="superscript"/>
        </w:rPr>
        <w:t>42</w:t>
      </w:r>
    </w:p>
    <w:p w:rsidR="00927C59" w:rsidRPr="0008676C" w:rsidRDefault="00927C59" w:rsidP="00927C59">
      <w:pPr>
        <w:pStyle w:val="body"/>
        <w:spacing w:after="160"/>
      </w:pPr>
      <w:r>
        <w:t>This tool allows you</w:t>
      </w:r>
      <w:r w:rsidRPr="0008676C">
        <w:t xml:space="preserve"> to organize</w:t>
      </w:r>
      <w:r>
        <w:t xml:space="preserve"> and compare</w:t>
      </w:r>
      <w:r w:rsidRPr="0008676C">
        <w:t xml:space="preserve"> the data you gather</w:t>
      </w:r>
      <w:r>
        <w:t xml:space="preserve"> in order to help you prioritize them. Here is an example of a completed table:</w:t>
      </w:r>
      <w:r w:rsidRPr="0008676C">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1358"/>
        <w:gridCol w:w="1461"/>
        <w:gridCol w:w="1520"/>
        <w:gridCol w:w="677"/>
        <w:gridCol w:w="1266"/>
      </w:tblGrid>
      <w:tr w:rsidR="00927C59" w:rsidRPr="0008676C" w:rsidTr="000A5D2E">
        <w:tc>
          <w:tcPr>
            <w:tcW w:w="2780" w:type="dxa"/>
            <w:vMerge w:val="restart"/>
          </w:tcPr>
          <w:p w:rsidR="00927C59" w:rsidRPr="0008676C" w:rsidRDefault="00927C59" w:rsidP="000A5D2E">
            <w:pPr>
              <w:widowControl w:val="0"/>
              <w:autoSpaceDE w:val="0"/>
              <w:autoSpaceDN w:val="0"/>
              <w:adjustRightInd w:val="0"/>
              <w:spacing w:before="40" w:after="40"/>
              <w:jc w:val="center"/>
              <w:rPr>
                <w:szCs w:val="20"/>
              </w:rPr>
            </w:pPr>
            <w:r w:rsidRPr="0008676C">
              <w:rPr>
                <w:rFonts w:cs="Cambria"/>
                <w:b/>
                <w:szCs w:val="20"/>
              </w:rPr>
              <w:t>Risk or Protective Factor</w:t>
            </w:r>
          </w:p>
        </w:tc>
        <w:tc>
          <w:tcPr>
            <w:tcW w:w="0" w:type="auto"/>
            <w:gridSpan w:val="3"/>
          </w:tcPr>
          <w:p w:rsidR="00927C59" w:rsidRPr="0008676C" w:rsidRDefault="00927C59" w:rsidP="000A5D2E">
            <w:pPr>
              <w:widowControl w:val="0"/>
              <w:autoSpaceDE w:val="0"/>
              <w:autoSpaceDN w:val="0"/>
              <w:adjustRightInd w:val="0"/>
              <w:spacing w:before="40" w:after="40"/>
              <w:jc w:val="center"/>
              <w:rPr>
                <w:szCs w:val="20"/>
              </w:rPr>
            </w:pPr>
            <w:r w:rsidRPr="0008676C">
              <w:rPr>
                <w:rFonts w:cs="Cambria"/>
                <w:b/>
                <w:szCs w:val="20"/>
              </w:rPr>
              <w:t>Mentioned During Key Informant Surveys or Focus Groups</w:t>
            </w:r>
          </w:p>
        </w:tc>
        <w:tc>
          <w:tcPr>
            <w:tcW w:w="0" w:type="auto"/>
            <w:gridSpan w:val="2"/>
          </w:tcPr>
          <w:p w:rsidR="00927C59" w:rsidRPr="0008676C" w:rsidRDefault="00927C59" w:rsidP="000A5D2E">
            <w:pPr>
              <w:widowControl w:val="0"/>
              <w:autoSpaceDE w:val="0"/>
              <w:autoSpaceDN w:val="0"/>
              <w:adjustRightInd w:val="0"/>
              <w:spacing w:before="40" w:after="40"/>
              <w:jc w:val="center"/>
              <w:rPr>
                <w:szCs w:val="20"/>
              </w:rPr>
            </w:pPr>
            <w:r w:rsidRPr="0008676C">
              <w:rPr>
                <w:rFonts w:cs="Cambria"/>
                <w:b/>
                <w:szCs w:val="20"/>
              </w:rPr>
              <w:t>Supported by Quantitative Data?</w:t>
            </w:r>
          </w:p>
        </w:tc>
      </w:tr>
      <w:tr w:rsidR="00927C59" w:rsidRPr="0008676C" w:rsidTr="000A5D2E">
        <w:tc>
          <w:tcPr>
            <w:tcW w:w="2780" w:type="dxa"/>
            <w:vMerge/>
          </w:tcPr>
          <w:p w:rsidR="00927C59" w:rsidRPr="0008676C" w:rsidRDefault="00927C59" w:rsidP="000A5D2E">
            <w:pPr>
              <w:widowControl w:val="0"/>
              <w:autoSpaceDE w:val="0"/>
              <w:autoSpaceDN w:val="0"/>
              <w:adjustRightInd w:val="0"/>
              <w:spacing w:before="40" w:after="40"/>
              <w:jc w:val="center"/>
              <w:rPr>
                <w:szCs w:val="20"/>
              </w:rPr>
            </w:pPr>
          </w:p>
        </w:tc>
        <w:tc>
          <w:tcPr>
            <w:tcW w:w="0" w:type="auto"/>
          </w:tcPr>
          <w:p w:rsidR="00927C59" w:rsidRPr="00C20B1C" w:rsidRDefault="00927C59" w:rsidP="000A5D2E">
            <w:pPr>
              <w:widowControl w:val="0"/>
              <w:autoSpaceDE w:val="0"/>
              <w:autoSpaceDN w:val="0"/>
              <w:adjustRightInd w:val="0"/>
              <w:spacing w:before="40" w:after="40"/>
              <w:jc w:val="center"/>
              <w:rPr>
                <w:i/>
                <w:szCs w:val="20"/>
              </w:rPr>
            </w:pPr>
            <w:r w:rsidRPr="00C20B1C">
              <w:rPr>
                <w:rFonts w:cs="Cambria"/>
                <w:b/>
                <w:i/>
                <w:szCs w:val="20"/>
              </w:rPr>
              <w:t>Frequently</w:t>
            </w:r>
          </w:p>
        </w:tc>
        <w:tc>
          <w:tcPr>
            <w:tcW w:w="0" w:type="auto"/>
          </w:tcPr>
          <w:p w:rsidR="00927C59" w:rsidRPr="00C20B1C" w:rsidRDefault="00927C59" w:rsidP="000A5D2E">
            <w:pPr>
              <w:widowControl w:val="0"/>
              <w:autoSpaceDE w:val="0"/>
              <w:autoSpaceDN w:val="0"/>
              <w:adjustRightInd w:val="0"/>
              <w:spacing w:before="40" w:after="40"/>
              <w:jc w:val="center"/>
              <w:rPr>
                <w:i/>
                <w:szCs w:val="20"/>
              </w:rPr>
            </w:pPr>
            <w:r w:rsidRPr="00C20B1C">
              <w:rPr>
                <w:rFonts w:cs="Cambria"/>
                <w:b/>
                <w:i/>
                <w:szCs w:val="20"/>
              </w:rPr>
              <w:t>Moderately</w:t>
            </w:r>
          </w:p>
        </w:tc>
        <w:tc>
          <w:tcPr>
            <w:tcW w:w="0" w:type="auto"/>
          </w:tcPr>
          <w:p w:rsidR="00927C59" w:rsidRPr="00C20B1C" w:rsidRDefault="00927C59" w:rsidP="000A5D2E">
            <w:pPr>
              <w:widowControl w:val="0"/>
              <w:autoSpaceDE w:val="0"/>
              <w:autoSpaceDN w:val="0"/>
              <w:adjustRightInd w:val="0"/>
              <w:spacing w:before="40" w:after="40"/>
              <w:jc w:val="center"/>
              <w:rPr>
                <w:i/>
                <w:szCs w:val="20"/>
              </w:rPr>
            </w:pPr>
            <w:r w:rsidRPr="00C20B1C">
              <w:rPr>
                <w:rFonts w:cs="Cambria"/>
                <w:b/>
                <w:i/>
                <w:szCs w:val="20"/>
              </w:rPr>
              <w:t xml:space="preserve">Infrequently </w:t>
            </w:r>
            <w:r w:rsidRPr="00C20B1C">
              <w:rPr>
                <w:rFonts w:cs="Cambria"/>
                <w:b/>
                <w:i/>
                <w:szCs w:val="20"/>
              </w:rPr>
              <w:br/>
              <w:t>or Not at All</w:t>
            </w:r>
          </w:p>
        </w:tc>
        <w:tc>
          <w:tcPr>
            <w:tcW w:w="0" w:type="auto"/>
          </w:tcPr>
          <w:p w:rsidR="00927C59" w:rsidRPr="00C20B1C" w:rsidRDefault="00927C59" w:rsidP="000A5D2E">
            <w:pPr>
              <w:widowControl w:val="0"/>
              <w:autoSpaceDE w:val="0"/>
              <w:autoSpaceDN w:val="0"/>
              <w:adjustRightInd w:val="0"/>
              <w:spacing w:before="40" w:after="40"/>
              <w:jc w:val="center"/>
              <w:rPr>
                <w:i/>
                <w:szCs w:val="20"/>
              </w:rPr>
            </w:pPr>
            <w:r w:rsidRPr="00C20B1C">
              <w:rPr>
                <w:rFonts w:cs="Cambria"/>
                <w:b/>
                <w:i/>
                <w:szCs w:val="20"/>
              </w:rPr>
              <w:t>Yes</w:t>
            </w:r>
          </w:p>
        </w:tc>
        <w:tc>
          <w:tcPr>
            <w:tcW w:w="0" w:type="auto"/>
          </w:tcPr>
          <w:p w:rsidR="00927C59" w:rsidRPr="00C20B1C" w:rsidRDefault="00927C59" w:rsidP="000A5D2E">
            <w:pPr>
              <w:widowControl w:val="0"/>
              <w:autoSpaceDE w:val="0"/>
              <w:autoSpaceDN w:val="0"/>
              <w:adjustRightInd w:val="0"/>
              <w:spacing w:before="40" w:after="40"/>
              <w:jc w:val="center"/>
              <w:rPr>
                <w:i/>
                <w:szCs w:val="20"/>
              </w:rPr>
            </w:pPr>
            <w:r w:rsidRPr="00C20B1C">
              <w:rPr>
                <w:rFonts w:cs="Cambria"/>
                <w:b/>
                <w:i/>
                <w:szCs w:val="20"/>
              </w:rPr>
              <w:t>No or N/A</w:t>
            </w:r>
          </w:p>
        </w:tc>
      </w:tr>
      <w:tr w:rsidR="00927C59" w:rsidRPr="0008676C" w:rsidTr="000A5D2E">
        <w:tc>
          <w:tcPr>
            <w:tcW w:w="2780" w:type="dxa"/>
          </w:tcPr>
          <w:p w:rsidR="00927C59" w:rsidRPr="0008676C" w:rsidRDefault="00927C59" w:rsidP="000A5D2E">
            <w:pPr>
              <w:widowControl w:val="0"/>
              <w:autoSpaceDE w:val="0"/>
              <w:autoSpaceDN w:val="0"/>
              <w:adjustRightInd w:val="0"/>
              <w:spacing w:before="40" w:after="80"/>
              <w:rPr>
                <w:szCs w:val="20"/>
              </w:rPr>
            </w:pPr>
            <w:r w:rsidRPr="0008676C">
              <w:rPr>
                <w:rFonts w:cs="Cambria"/>
                <w:szCs w:val="20"/>
              </w:rPr>
              <w:t>Low perception of risk or harm</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r>
      <w:tr w:rsidR="00927C59" w:rsidRPr="0008676C" w:rsidTr="000A5D2E">
        <w:tc>
          <w:tcPr>
            <w:tcW w:w="2780" w:type="dxa"/>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eastAsia="MS Gothic" w:cs="Cambria"/>
                <w:szCs w:val="20"/>
              </w:rPr>
              <w:t>Ineffective family management or parental monitoring</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r>
      <w:tr w:rsidR="00927C59" w:rsidRPr="0008676C" w:rsidTr="000A5D2E">
        <w:tc>
          <w:tcPr>
            <w:tcW w:w="2780" w:type="dxa"/>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eastAsia="MS Gothic" w:cs="Cambria"/>
                <w:szCs w:val="20"/>
              </w:rPr>
              <w:t>Perceived peer approval or actual peer use</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r>
      <w:tr w:rsidR="00927C59" w:rsidRPr="0008676C" w:rsidTr="000A5D2E">
        <w:tc>
          <w:tcPr>
            <w:tcW w:w="2780" w:type="dxa"/>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eastAsia="MS Gothic" w:cs="Cambria"/>
                <w:szCs w:val="20"/>
              </w:rPr>
              <w:t>Community norms supporting use</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r>
      <w:tr w:rsidR="00927C59" w:rsidRPr="0008676C" w:rsidTr="000A5D2E">
        <w:tc>
          <w:tcPr>
            <w:tcW w:w="2780" w:type="dxa"/>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eastAsia="MS Gothic" w:cs="Cambria"/>
                <w:szCs w:val="20"/>
              </w:rPr>
              <w:t>Youth access: Commercial</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r>
      <w:tr w:rsidR="00927C59" w:rsidRPr="0008676C" w:rsidTr="000A5D2E">
        <w:tc>
          <w:tcPr>
            <w:tcW w:w="2780" w:type="dxa"/>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eastAsia="MS Gothic" w:cs="Cambria"/>
                <w:szCs w:val="20"/>
              </w:rPr>
              <w:t>Youth access: Social</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szCs w:val="20"/>
              </w:rPr>
            </w:pPr>
            <w:r w:rsidRPr="0008676C">
              <w:rPr>
                <w:rFonts w:ascii="Menlo Bold" w:eastAsia="MS Gothic" w:hAnsi="Menlo Bold" w:cs="Menlo Bold"/>
                <w:szCs w:val="20"/>
              </w:rPr>
              <w:t>☐</w:t>
            </w:r>
          </w:p>
        </w:tc>
        <w:tc>
          <w:tcPr>
            <w:tcW w:w="0" w:type="auto"/>
          </w:tcPr>
          <w:p w:rsidR="00927C59" w:rsidRPr="0008676C" w:rsidRDefault="00927C59" w:rsidP="000A5D2E">
            <w:pPr>
              <w:widowControl w:val="0"/>
              <w:autoSpaceDE w:val="0"/>
              <w:autoSpaceDN w:val="0"/>
              <w:adjustRightInd w:val="0"/>
              <w:spacing w:before="40" w:after="80"/>
              <w:rPr>
                <w:rFonts w:eastAsia="MS Gothic" w:cs="MS Gothic"/>
                <w:szCs w:val="20"/>
              </w:rPr>
            </w:pPr>
            <w:r w:rsidRPr="0008676C">
              <w:rPr>
                <w:rFonts w:ascii="Menlo Bold" w:eastAsia="MS Gothic" w:hAnsi="Menlo Bold" w:cs="Menlo Bold"/>
                <w:szCs w:val="20"/>
              </w:rPr>
              <w:t>☐</w:t>
            </w:r>
          </w:p>
        </w:tc>
      </w:tr>
      <w:tr w:rsidR="00927C59" w:rsidRPr="00584AA1" w:rsidTr="000A5D2E">
        <w:tc>
          <w:tcPr>
            <w:tcW w:w="9288" w:type="dxa"/>
            <w:gridSpan w:val="6"/>
          </w:tcPr>
          <w:p w:rsidR="00927C59" w:rsidRPr="00584AA1" w:rsidRDefault="00927C59" w:rsidP="000A5D2E">
            <w:pPr>
              <w:spacing w:before="40"/>
              <w:rPr>
                <w:szCs w:val="20"/>
              </w:rPr>
            </w:pPr>
            <w:r w:rsidRPr="00584AA1">
              <w:rPr>
                <w:szCs w:val="20"/>
              </w:rPr>
              <w:t>Other comments from qualitative data collection:</w:t>
            </w:r>
          </w:p>
          <w:p w:rsidR="00927C59" w:rsidRPr="00584AA1" w:rsidRDefault="00927C59" w:rsidP="000A5D2E">
            <w:pPr>
              <w:spacing w:before="40"/>
              <w:rPr>
                <w:szCs w:val="20"/>
              </w:rPr>
            </w:pPr>
          </w:p>
          <w:p w:rsidR="00927C59" w:rsidRPr="00584AA1" w:rsidRDefault="00927C59" w:rsidP="000A5D2E">
            <w:pPr>
              <w:spacing w:before="40"/>
              <w:rPr>
                <w:szCs w:val="20"/>
              </w:rPr>
            </w:pPr>
          </w:p>
        </w:tc>
      </w:tr>
    </w:tbl>
    <w:p w:rsidR="00927C59" w:rsidRDefault="00927C59" w:rsidP="00927C59">
      <w:pPr>
        <w:pStyle w:val="body"/>
        <w:rPr>
          <w:rFonts w:asciiTheme="majorHAnsi" w:hAnsiTheme="majorHAnsi"/>
          <w:sz w:val="24"/>
          <w:szCs w:val="24"/>
        </w:rPr>
      </w:pPr>
    </w:p>
    <w:p w:rsidR="00927C59" w:rsidRDefault="00927C59" w:rsidP="00927C59">
      <w:pPr>
        <w:pStyle w:val="body"/>
      </w:pPr>
      <w:r>
        <w:t xml:space="preserve">These risk and protective factors are provided as examples, but please note that this is not an exhaustive list. Communities should fill in the table with the factors relevant to their local context. </w:t>
      </w:r>
    </w:p>
    <w:p w:rsidR="00927C59" w:rsidRDefault="00927C59" w:rsidP="00927C59">
      <w:pPr>
        <w:pStyle w:val="body"/>
      </w:pPr>
    </w:p>
    <w:p w:rsidR="00927C59" w:rsidRDefault="00927C59" w:rsidP="00927C59">
      <w:pPr>
        <w:pStyle w:val="body"/>
        <w:rPr>
          <w:rStyle w:val="Hyperlink"/>
        </w:rPr>
      </w:pPr>
      <w:r>
        <w:t xml:space="preserve">A good resource is </w:t>
      </w:r>
      <w:hyperlink r:id="rId5" w:history="1">
        <w:r w:rsidRPr="00BC6705">
          <w:rPr>
            <w:rStyle w:val="Hyperlink"/>
            <w:i/>
          </w:rPr>
          <w:t>R</w:t>
        </w:r>
        <w:r w:rsidRPr="00BC6705">
          <w:rPr>
            <w:rStyle w:val="Hyperlink"/>
            <w:rFonts w:asciiTheme="minorHAnsi" w:hAnsiTheme="minorHAnsi"/>
            <w:i/>
          </w:rPr>
          <w:t xml:space="preserve">isk and Protective Factors Associated with Binge or Heavy Episodic Drinking </w:t>
        </w:r>
        <w:proofErr w:type="gramStart"/>
        <w:r w:rsidRPr="00BC6705">
          <w:rPr>
            <w:rStyle w:val="Hyperlink"/>
            <w:rFonts w:asciiTheme="minorHAnsi" w:hAnsiTheme="minorHAnsi"/>
            <w:i/>
          </w:rPr>
          <w:t>Among</w:t>
        </w:r>
        <w:proofErr w:type="gramEnd"/>
        <w:r w:rsidRPr="00BC6705">
          <w:rPr>
            <w:rStyle w:val="Hyperlink"/>
            <w:rFonts w:asciiTheme="minorHAnsi" w:hAnsiTheme="minorHAnsi"/>
            <w:i/>
          </w:rPr>
          <w:t xml:space="preserve"> Adolescents and Young Adults</w:t>
        </w:r>
      </w:hyperlink>
      <w:r w:rsidRPr="009F3A74">
        <w:t>, a literature review of risk and protective factors for binge drinking among adolescents and young adults conducted</w:t>
      </w:r>
      <w:r>
        <w:t xml:space="preserve"> in 2015</w:t>
      </w:r>
      <w:r w:rsidRPr="009F3A74">
        <w:t xml:space="preserve"> by SAMHSA’s Center for the Application of Prevention Technologies</w:t>
      </w:r>
      <w:r>
        <w:t xml:space="preserve">. </w:t>
      </w:r>
    </w:p>
    <w:p w:rsidR="00927C59" w:rsidRPr="0008676C" w:rsidRDefault="00927C59" w:rsidP="00927C59">
      <w:pPr>
        <w:pStyle w:val="body"/>
        <w:rPr>
          <w:rFonts w:asciiTheme="majorHAnsi" w:hAnsiTheme="majorHAnsi"/>
          <w:sz w:val="24"/>
          <w:szCs w:val="24"/>
        </w:rPr>
      </w:pPr>
    </w:p>
    <w:p w:rsidR="00927C59" w:rsidRPr="0008676C" w:rsidRDefault="00927C59" w:rsidP="00927C59">
      <w:pPr>
        <w:pStyle w:val="body"/>
      </w:pPr>
      <w:r>
        <w:t xml:space="preserve">Fill in the table with the risk or protective factors that are relevant in your community. </w:t>
      </w:r>
    </w:p>
    <w:p w:rsidR="00927C59" w:rsidRPr="0008676C" w:rsidRDefault="00927C59" w:rsidP="00927C59">
      <w:pPr>
        <w:pStyle w:val="body"/>
      </w:pPr>
    </w:p>
    <w:tbl>
      <w:tblPr>
        <w:tblW w:w="0" w:type="auto"/>
        <w:tblInd w:w="288" w:type="dxa"/>
        <w:tblLook w:val="04A0" w:firstRow="1" w:lastRow="0" w:firstColumn="1" w:lastColumn="0" w:noHBand="0" w:noVBand="1"/>
      </w:tblPr>
      <w:tblGrid>
        <w:gridCol w:w="2780"/>
        <w:gridCol w:w="1342"/>
        <w:gridCol w:w="1443"/>
        <w:gridCol w:w="1501"/>
        <w:gridCol w:w="691"/>
        <w:gridCol w:w="1305"/>
      </w:tblGrid>
      <w:tr w:rsidR="00927C59" w:rsidRPr="00952FCF" w:rsidTr="000A5D2E">
        <w:tc>
          <w:tcPr>
            <w:tcW w:w="2780" w:type="dxa"/>
            <w:vMerge w:val="restart"/>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spacing w:before="40" w:after="40"/>
              <w:ind w:left="-18"/>
              <w:jc w:val="center"/>
              <w:rPr>
                <w:sz w:val="21"/>
                <w:szCs w:val="21"/>
              </w:rPr>
            </w:pPr>
            <w:r w:rsidRPr="00952FCF">
              <w:rPr>
                <w:rFonts w:cs="Cambria"/>
                <w:b/>
                <w:sz w:val="21"/>
                <w:szCs w:val="21"/>
              </w:rPr>
              <w:t>Risk or Protective Factor</w:t>
            </w:r>
          </w:p>
        </w:tc>
        <w:tc>
          <w:tcPr>
            <w:tcW w:w="0" w:type="auto"/>
            <w:gridSpan w:val="3"/>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spacing w:before="40" w:after="40"/>
              <w:jc w:val="center"/>
              <w:rPr>
                <w:sz w:val="21"/>
                <w:szCs w:val="21"/>
              </w:rPr>
            </w:pPr>
            <w:r w:rsidRPr="00952FCF">
              <w:rPr>
                <w:rFonts w:cs="Cambria"/>
                <w:b/>
                <w:sz w:val="21"/>
                <w:szCs w:val="21"/>
              </w:rPr>
              <w:t>Mentioned During Key Informant Surveys or Focus Groups</w:t>
            </w:r>
          </w:p>
        </w:tc>
        <w:tc>
          <w:tcPr>
            <w:tcW w:w="0" w:type="auto"/>
            <w:gridSpan w:val="2"/>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spacing w:before="40" w:after="40"/>
              <w:jc w:val="center"/>
              <w:rPr>
                <w:sz w:val="21"/>
                <w:szCs w:val="21"/>
              </w:rPr>
            </w:pPr>
            <w:r w:rsidRPr="00952FCF">
              <w:rPr>
                <w:rFonts w:cs="Cambria"/>
                <w:b/>
                <w:sz w:val="21"/>
                <w:szCs w:val="21"/>
              </w:rPr>
              <w:t>Supported by Quantitative Data?</w:t>
            </w:r>
          </w:p>
        </w:tc>
      </w:tr>
      <w:tr w:rsidR="00927C59" w:rsidRPr="00952FCF" w:rsidTr="000A5D2E">
        <w:tc>
          <w:tcPr>
            <w:tcW w:w="2780" w:type="dxa"/>
            <w:vMerge/>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spacing w:before="40" w:after="40"/>
              <w:ind w:left="-18"/>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rsidR="00927C59" w:rsidRPr="00211B37" w:rsidRDefault="00927C59" w:rsidP="000A5D2E">
            <w:pPr>
              <w:widowControl w:val="0"/>
              <w:autoSpaceDE w:val="0"/>
              <w:autoSpaceDN w:val="0"/>
              <w:adjustRightInd w:val="0"/>
              <w:spacing w:before="40" w:after="40"/>
              <w:jc w:val="center"/>
              <w:rPr>
                <w:i/>
                <w:sz w:val="21"/>
                <w:szCs w:val="21"/>
              </w:rPr>
            </w:pPr>
            <w:r w:rsidRPr="00211B37">
              <w:rPr>
                <w:rFonts w:cs="Cambria"/>
                <w:b/>
                <w:i/>
                <w:sz w:val="21"/>
                <w:szCs w:val="21"/>
              </w:rPr>
              <w:t>Frequently</w:t>
            </w:r>
          </w:p>
        </w:tc>
        <w:tc>
          <w:tcPr>
            <w:tcW w:w="0" w:type="auto"/>
            <w:tcBorders>
              <w:top w:val="single" w:sz="4" w:space="0" w:color="auto"/>
              <w:left w:val="single" w:sz="4" w:space="0" w:color="auto"/>
              <w:bottom w:val="single" w:sz="4" w:space="0" w:color="auto"/>
              <w:right w:val="single" w:sz="4" w:space="0" w:color="auto"/>
            </w:tcBorders>
          </w:tcPr>
          <w:p w:rsidR="00927C59" w:rsidRPr="00211B37" w:rsidRDefault="00927C59" w:rsidP="000A5D2E">
            <w:pPr>
              <w:widowControl w:val="0"/>
              <w:autoSpaceDE w:val="0"/>
              <w:autoSpaceDN w:val="0"/>
              <w:adjustRightInd w:val="0"/>
              <w:spacing w:before="40" w:after="40"/>
              <w:jc w:val="center"/>
              <w:rPr>
                <w:i/>
                <w:sz w:val="21"/>
                <w:szCs w:val="21"/>
              </w:rPr>
            </w:pPr>
            <w:r w:rsidRPr="00211B37">
              <w:rPr>
                <w:rFonts w:cs="Cambria"/>
                <w:b/>
                <w:i/>
                <w:sz w:val="21"/>
                <w:szCs w:val="21"/>
              </w:rPr>
              <w:t>Moderately</w:t>
            </w:r>
          </w:p>
        </w:tc>
        <w:tc>
          <w:tcPr>
            <w:tcW w:w="0" w:type="auto"/>
            <w:tcBorders>
              <w:top w:val="single" w:sz="4" w:space="0" w:color="auto"/>
              <w:left w:val="single" w:sz="4" w:space="0" w:color="auto"/>
              <w:bottom w:val="single" w:sz="4" w:space="0" w:color="auto"/>
              <w:right w:val="single" w:sz="4" w:space="0" w:color="auto"/>
            </w:tcBorders>
          </w:tcPr>
          <w:p w:rsidR="00927C59" w:rsidRPr="00211B37" w:rsidRDefault="00927C59" w:rsidP="000A5D2E">
            <w:pPr>
              <w:widowControl w:val="0"/>
              <w:autoSpaceDE w:val="0"/>
              <w:autoSpaceDN w:val="0"/>
              <w:adjustRightInd w:val="0"/>
              <w:spacing w:before="40" w:after="40"/>
              <w:jc w:val="center"/>
              <w:rPr>
                <w:i/>
                <w:sz w:val="21"/>
                <w:szCs w:val="21"/>
              </w:rPr>
            </w:pPr>
            <w:r w:rsidRPr="00211B37">
              <w:rPr>
                <w:rFonts w:cs="Cambria"/>
                <w:b/>
                <w:i/>
                <w:sz w:val="21"/>
                <w:szCs w:val="21"/>
              </w:rPr>
              <w:t xml:space="preserve">Infrequently </w:t>
            </w:r>
            <w:r w:rsidRPr="00211B37">
              <w:rPr>
                <w:rFonts w:cs="Cambria"/>
                <w:b/>
                <w:i/>
                <w:sz w:val="21"/>
                <w:szCs w:val="21"/>
              </w:rPr>
              <w:br/>
              <w:t>or Not at All</w:t>
            </w:r>
          </w:p>
        </w:tc>
        <w:tc>
          <w:tcPr>
            <w:tcW w:w="0" w:type="auto"/>
            <w:tcBorders>
              <w:top w:val="single" w:sz="4" w:space="0" w:color="auto"/>
              <w:left w:val="single" w:sz="4" w:space="0" w:color="auto"/>
              <w:bottom w:val="single" w:sz="4" w:space="0" w:color="auto"/>
              <w:right w:val="single" w:sz="4" w:space="0" w:color="auto"/>
            </w:tcBorders>
          </w:tcPr>
          <w:p w:rsidR="00927C59" w:rsidRPr="00211B37" w:rsidRDefault="00927C59" w:rsidP="000A5D2E">
            <w:pPr>
              <w:widowControl w:val="0"/>
              <w:autoSpaceDE w:val="0"/>
              <w:autoSpaceDN w:val="0"/>
              <w:adjustRightInd w:val="0"/>
              <w:spacing w:before="40" w:after="40"/>
              <w:jc w:val="center"/>
              <w:rPr>
                <w:i/>
                <w:sz w:val="21"/>
                <w:szCs w:val="21"/>
              </w:rPr>
            </w:pPr>
            <w:r w:rsidRPr="00211B37">
              <w:rPr>
                <w:rFonts w:cs="Cambria"/>
                <w:b/>
                <w:i/>
                <w:sz w:val="21"/>
                <w:szCs w:val="21"/>
              </w:rPr>
              <w:t>Yes</w:t>
            </w:r>
          </w:p>
        </w:tc>
        <w:tc>
          <w:tcPr>
            <w:tcW w:w="0" w:type="auto"/>
            <w:tcBorders>
              <w:top w:val="single" w:sz="4" w:space="0" w:color="auto"/>
              <w:left w:val="single" w:sz="4" w:space="0" w:color="auto"/>
              <w:bottom w:val="single" w:sz="4" w:space="0" w:color="auto"/>
              <w:right w:val="single" w:sz="4" w:space="0" w:color="auto"/>
            </w:tcBorders>
          </w:tcPr>
          <w:p w:rsidR="00927C59" w:rsidRPr="00211B37" w:rsidRDefault="00927C59" w:rsidP="000A5D2E">
            <w:pPr>
              <w:widowControl w:val="0"/>
              <w:autoSpaceDE w:val="0"/>
              <w:autoSpaceDN w:val="0"/>
              <w:adjustRightInd w:val="0"/>
              <w:spacing w:before="40" w:after="40"/>
              <w:jc w:val="center"/>
              <w:rPr>
                <w:i/>
                <w:sz w:val="21"/>
                <w:szCs w:val="21"/>
              </w:rPr>
            </w:pPr>
            <w:r w:rsidRPr="00211B37">
              <w:rPr>
                <w:rFonts w:cs="Cambria"/>
                <w:b/>
                <w:i/>
                <w:sz w:val="21"/>
                <w:szCs w:val="21"/>
              </w:rPr>
              <w:t>No or N/A</w:t>
            </w:r>
          </w:p>
        </w:tc>
      </w:tr>
      <w:tr w:rsidR="00927C59" w:rsidRPr="00952FCF" w:rsidTr="000A5D2E">
        <w:tc>
          <w:tcPr>
            <w:tcW w:w="2780" w:type="dxa"/>
            <w:tcBorders>
              <w:top w:val="single" w:sz="4" w:space="0" w:color="auto"/>
              <w:left w:val="single" w:sz="4" w:space="0" w:color="auto"/>
              <w:bottom w:val="single" w:sz="4" w:space="0" w:color="auto"/>
              <w:right w:val="single" w:sz="4" w:space="0" w:color="auto"/>
            </w:tcBorders>
          </w:tcPr>
          <w:p w:rsidR="00927C59" w:rsidRDefault="00927C59" w:rsidP="000A5D2E">
            <w:pPr>
              <w:widowControl w:val="0"/>
              <w:autoSpaceDE w:val="0"/>
              <w:autoSpaceDN w:val="0"/>
              <w:adjustRightInd w:val="0"/>
              <w:ind w:left="-18"/>
              <w:rPr>
                <w:rFonts w:cs="Cambria"/>
                <w:sz w:val="21"/>
                <w:szCs w:val="21"/>
              </w:rPr>
            </w:pPr>
            <w:r>
              <w:rPr>
                <w:rFonts w:cs="Cambria"/>
                <w:sz w:val="21"/>
                <w:szCs w:val="21"/>
              </w:rPr>
              <w:t xml:space="preserve"> </w:t>
            </w:r>
          </w:p>
          <w:p w:rsidR="00927C59" w:rsidRPr="00952FCF" w:rsidRDefault="00927C59" w:rsidP="000A5D2E">
            <w:pPr>
              <w:widowControl w:val="0"/>
              <w:autoSpaceDE w:val="0"/>
              <w:autoSpaceDN w:val="0"/>
              <w:adjustRightInd w:val="0"/>
              <w:ind w:left="-18"/>
              <w:rPr>
                <w:sz w:val="21"/>
                <w:szCs w:val="21"/>
              </w:rPr>
            </w:pP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r>
      <w:tr w:rsidR="00927C59" w:rsidRPr="00952FCF" w:rsidTr="000A5D2E">
        <w:tc>
          <w:tcPr>
            <w:tcW w:w="2780" w:type="dxa"/>
            <w:tcBorders>
              <w:top w:val="single" w:sz="4" w:space="0" w:color="auto"/>
              <w:left w:val="single" w:sz="4" w:space="0" w:color="auto"/>
              <w:bottom w:val="single" w:sz="4" w:space="0" w:color="auto"/>
              <w:right w:val="single" w:sz="4" w:space="0" w:color="auto"/>
            </w:tcBorders>
          </w:tcPr>
          <w:p w:rsidR="00927C59" w:rsidRDefault="00927C59" w:rsidP="000A5D2E">
            <w:pPr>
              <w:widowControl w:val="0"/>
              <w:autoSpaceDE w:val="0"/>
              <w:autoSpaceDN w:val="0"/>
              <w:adjustRightInd w:val="0"/>
              <w:ind w:left="-18"/>
              <w:rPr>
                <w:rFonts w:eastAsia="MS Gothic" w:cs="Cambria"/>
                <w:sz w:val="21"/>
                <w:szCs w:val="21"/>
              </w:rPr>
            </w:pPr>
            <w:r>
              <w:rPr>
                <w:rFonts w:eastAsia="MS Gothic" w:cs="Cambria"/>
                <w:sz w:val="21"/>
                <w:szCs w:val="21"/>
              </w:rPr>
              <w:lastRenderedPageBreak/>
              <w:t xml:space="preserve"> </w:t>
            </w:r>
          </w:p>
          <w:p w:rsidR="00927C59" w:rsidRPr="00952FCF" w:rsidRDefault="00927C59" w:rsidP="000A5D2E">
            <w:pPr>
              <w:widowControl w:val="0"/>
              <w:autoSpaceDE w:val="0"/>
              <w:autoSpaceDN w:val="0"/>
              <w:adjustRightInd w:val="0"/>
              <w:ind w:left="-18"/>
              <w:rPr>
                <w:rFonts w:eastAsia="MS Gothic"/>
                <w:sz w:val="21"/>
                <w:szCs w:val="21"/>
              </w:rPr>
            </w:pP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r>
      <w:tr w:rsidR="00927C59" w:rsidRPr="00952FCF" w:rsidTr="000A5D2E">
        <w:tc>
          <w:tcPr>
            <w:tcW w:w="2780" w:type="dxa"/>
            <w:tcBorders>
              <w:top w:val="single" w:sz="4" w:space="0" w:color="auto"/>
              <w:left w:val="single" w:sz="4" w:space="0" w:color="auto"/>
              <w:bottom w:val="single" w:sz="4" w:space="0" w:color="auto"/>
              <w:right w:val="single" w:sz="4" w:space="0" w:color="auto"/>
            </w:tcBorders>
          </w:tcPr>
          <w:p w:rsidR="00927C59" w:rsidRDefault="00927C59" w:rsidP="000A5D2E">
            <w:pPr>
              <w:widowControl w:val="0"/>
              <w:autoSpaceDE w:val="0"/>
              <w:autoSpaceDN w:val="0"/>
              <w:adjustRightInd w:val="0"/>
              <w:ind w:left="-18"/>
              <w:rPr>
                <w:rFonts w:eastAsia="MS Gothic" w:cs="Cambria"/>
                <w:sz w:val="21"/>
                <w:szCs w:val="21"/>
              </w:rPr>
            </w:pPr>
            <w:r>
              <w:rPr>
                <w:rFonts w:eastAsia="MS Gothic" w:cs="Cambria"/>
                <w:sz w:val="21"/>
                <w:szCs w:val="21"/>
              </w:rPr>
              <w:t xml:space="preserve"> </w:t>
            </w:r>
          </w:p>
          <w:p w:rsidR="00927C59" w:rsidRPr="00952FCF" w:rsidRDefault="00927C59" w:rsidP="000A5D2E">
            <w:pPr>
              <w:widowControl w:val="0"/>
              <w:autoSpaceDE w:val="0"/>
              <w:autoSpaceDN w:val="0"/>
              <w:adjustRightInd w:val="0"/>
              <w:ind w:left="-18"/>
              <w:rPr>
                <w:rFonts w:eastAsia="MS Gothic"/>
                <w:sz w:val="21"/>
                <w:szCs w:val="21"/>
              </w:rPr>
            </w:pP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r>
      <w:tr w:rsidR="00927C59" w:rsidRPr="00952FCF" w:rsidTr="000A5D2E">
        <w:tc>
          <w:tcPr>
            <w:tcW w:w="2780" w:type="dxa"/>
            <w:tcBorders>
              <w:top w:val="single" w:sz="4" w:space="0" w:color="auto"/>
              <w:left w:val="single" w:sz="4" w:space="0" w:color="auto"/>
              <w:bottom w:val="single" w:sz="4" w:space="0" w:color="auto"/>
              <w:right w:val="single" w:sz="4" w:space="0" w:color="auto"/>
            </w:tcBorders>
          </w:tcPr>
          <w:p w:rsidR="00927C59" w:rsidRDefault="00927C59" w:rsidP="000A5D2E">
            <w:pPr>
              <w:widowControl w:val="0"/>
              <w:autoSpaceDE w:val="0"/>
              <w:autoSpaceDN w:val="0"/>
              <w:adjustRightInd w:val="0"/>
              <w:ind w:left="-18"/>
              <w:rPr>
                <w:rFonts w:eastAsia="MS Gothic" w:cs="Cambria"/>
                <w:sz w:val="21"/>
                <w:szCs w:val="21"/>
              </w:rPr>
            </w:pPr>
            <w:r>
              <w:rPr>
                <w:rFonts w:eastAsia="MS Gothic" w:cs="Cambria"/>
                <w:sz w:val="21"/>
                <w:szCs w:val="21"/>
              </w:rPr>
              <w:t xml:space="preserve"> </w:t>
            </w:r>
          </w:p>
          <w:p w:rsidR="00927C59" w:rsidRPr="00952FCF" w:rsidRDefault="00927C59" w:rsidP="000A5D2E">
            <w:pPr>
              <w:widowControl w:val="0"/>
              <w:autoSpaceDE w:val="0"/>
              <w:autoSpaceDN w:val="0"/>
              <w:adjustRightInd w:val="0"/>
              <w:ind w:left="-18"/>
              <w:rPr>
                <w:rFonts w:eastAsia="MS Gothic"/>
                <w:sz w:val="21"/>
                <w:szCs w:val="21"/>
              </w:rPr>
            </w:pP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r>
      <w:tr w:rsidR="00927C59" w:rsidRPr="00952FCF" w:rsidTr="000A5D2E">
        <w:tc>
          <w:tcPr>
            <w:tcW w:w="2780" w:type="dxa"/>
            <w:tcBorders>
              <w:top w:val="single" w:sz="4" w:space="0" w:color="auto"/>
              <w:left w:val="single" w:sz="4" w:space="0" w:color="auto"/>
              <w:bottom w:val="single" w:sz="4" w:space="0" w:color="auto"/>
              <w:right w:val="single" w:sz="4" w:space="0" w:color="auto"/>
            </w:tcBorders>
          </w:tcPr>
          <w:p w:rsidR="00927C59" w:rsidRDefault="00927C59" w:rsidP="000A5D2E">
            <w:pPr>
              <w:widowControl w:val="0"/>
              <w:autoSpaceDE w:val="0"/>
              <w:autoSpaceDN w:val="0"/>
              <w:adjustRightInd w:val="0"/>
              <w:ind w:left="-18"/>
              <w:rPr>
                <w:rFonts w:eastAsia="MS Gothic" w:cs="Cambria"/>
                <w:sz w:val="21"/>
                <w:szCs w:val="21"/>
              </w:rPr>
            </w:pPr>
            <w:r>
              <w:rPr>
                <w:rFonts w:eastAsia="MS Gothic" w:cs="Cambria"/>
                <w:sz w:val="21"/>
                <w:szCs w:val="21"/>
              </w:rPr>
              <w:t xml:space="preserve"> </w:t>
            </w:r>
          </w:p>
          <w:p w:rsidR="00927C59" w:rsidRPr="00952FCF" w:rsidRDefault="00927C59" w:rsidP="000A5D2E">
            <w:pPr>
              <w:widowControl w:val="0"/>
              <w:autoSpaceDE w:val="0"/>
              <w:autoSpaceDN w:val="0"/>
              <w:adjustRightInd w:val="0"/>
              <w:ind w:left="-18"/>
              <w:rPr>
                <w:rFonts w:eastAsia="MS Gothic"/>
                <w:sz w:val="21"/>
                <w:szCs w:val="21"/>
              </w:rPr>
            </w:pP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r>
      <w:tr w:rsidR="00927C59" w:rsidRPr="00952FCF" w:rsidTr="000A5D2E">
        <w:tc>
          <w:tcPr>
            <w:tcW w:w="2780" w:type="dxa"/>
            <w:tcBorders>
              <w:top w:val="single" w:sz="4" w:space="0" w:color="auto"/>
              <w:left w:val="single" w:sz="4" w:space="0" w:color="auto"/>
              <w:bottom w:val="single" w:sz="4" w:space="0" w:color="auto"/>
              <w:right w:val="single" w:sz="4" w:space="0" w:color="auto"/>
            </w:tcBorders>
          </w:tcPr>
          <w:p w:rsidR="00927C59" w:rsidRDefault="00927C59" w:rsidP="000A5D2E">
            <w:pPr>
              <w:widowControl w:val="0"/>
              <w:autoSpaceDE w:val="0"/>
              <w:autoSpaceDN w:val="0"/>
              <w:adjustRightInd w:val="0"/>
              <w:ind w:left="-18"/>
              <w:rPr>
                <w:rFonts w:eastAsia="MS Gothic"/>
                <w:sz w:val="21"/>
                <w:szCs w:val="21"/>
              </w:rPr>
            </w:pPr>
          </w:p>
          <w:p w:rsidR="00927C59" w:rsidRPr="00952FCF" w:rsidRDefault="00927C59" w:rsidP="000A5D2E">
            <w:pPr>
              <w:widowControl w:val="0"/>
              <w:autoSpaceDE w:val="0"/>
              <w:autoSpaceDN w:val="0"/>
              <w:adjustRightInd w:val="0"/>
              <w:ind w:left="-18"/>
              <w:rPr>
                <w:rFonts w:eastAsia="MS Gothic"/>
                <w:sz w:val="21"/>
                <w:szCs w:val="21"/>
              </w:rPr>
            </w:pP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sz w:val="21"/>
                <w:szCs w:val="21"/>
              </w:rPr>
            </w:pPr>
            <w:r w:rsidRPr="00952FCF">
              <w:rPr>
                <w:rFonts w:ascii="Menlo Regular" w:eastAsia="MS Gothic" w:hAnsi="Menlo Regular" w:cs="Menlo Regular"/>
                <w:sz w:val="21"/>
                <w:szCs w:val="21"/>
              </w:rPr>
              <w:t>☐</w:t>
            </w:r>
          </w:p>
        </w:tc>
        <w:tc>
          <w:tcPr>
            <w:tcW w:w="0" w:type="auto"/>
            <w:tcBorders>
              <w:top w:val="single" w:sz="4" w:space="0" w:color="auto"/>
              <w:left w:val="single" w:sz="4" w:space="0" w:color="auto"/>
              <w:bottom w:val="single" w:sz="4" w:space="0" w:color="auto"/>
              <w:right w:val="single" w:sz="4" w:space="0" w:color="auto"/>
            </w:tcBorders>
          </w:tcPr>
          <w:p w:rsidR="00927C59" w:rsidRPr="00952FCF" w:rsidRDefault="00927C59" w:rsidP="000A5D2E">
            <w:pPr>
              <w:widowControl w:val="0"/>
              <w:autoSpaceDE w:val="0"/>
              <w:autoSpaceDN w:val="0"/>
              <w:adjustRightInd w:val="0"/>
              <w:rPr>
                <w:rFonts w:eastAsia="MS Gothic" w:cs="MS Gothic"/>
                <w:sz w:val="21"/>
                <w:szCs w:val="21"/>
              </w:rPr>
            </w:pPr>
            <w:r w:rsidRPr="00952FCF">
              <w:rPr>
                <w:rFonts w:ascii="Menlo Regular" w:eastAsia="MS Gothic" w:hAnsi="Menlo Regular" w:cs="Menlo Regular"/>
                <w:sz w:val="21"/>
                <w:szCs w:val="21"/>
              </w:rPr>
              <w:t>☐</w:t>
            </w:r>
          </w:p>
        </w:tc>
      </w:tr>
      <w:tr w:rsidR="00927C59" w:rsidRPr="00952FCF" w:rsidTr="000A5D2E">
        <w:tc>
          <w:tcPr>
            <w:tcW w:w="9288" w:type="dxa"/>
            <w:gridSpan w:val="6"/>
            <w:tcBorders>
              <w:top w:val="single" w:sz="4" w:space="0" w:color="auto"/>
              <w:left w:val="single" w:sz="4" w:space="0" w:color="auto"/>
              <w:bottom w:val="single" w:sz="4" w:space="0" w:color="auto"/>
              <w:right w:val="single" w:sz="4" w:space="0" w:color="auto"/>
            </w:tcBorders>
          </w:tcPr>
          <w:p w:rsidR="00927C59" w:rsidRPr="00952FCF" w:rsidRDefault="00927C59" w:rsidP="000A5D2E">
            <w:pPr>
              <w:spacing w:before="40"/>
              <w:ind w:left="-14"/>
              <w:rPr>
                <w:sz w:val="21"/>
                <w:szCs w:val="21"/>
              </w:rPr>
            </w:pPr>
            <w:r w:rsidRPr="00952FCF">
              <w:rPr>
                <w:sz w:val="21"/>
                <w:szCs w:val="21"/>
              </w:rPr>
              <w:t>Other comments from qualitative data collection:</w:t>
            </w:r>
          </w:p>
          <w:p w:rsidR="00927C59" w:rsidRPr="00952FCF" w:rsidRDefault="00927C59" w:rsidP="000A5D2E">
            <w:pPr>
              <w:spacing w:before="40"/>
              <w:ind w:left="-14"/>
              <w:rPr>
                <w:sz w:val="21"/>
                <w:szCs w:val="21"/>
              </w:rPr>
            </w:pPr>
          </w:p>
          <w:p w:rsidR="00927C59" w:rsidRPr="00952FCF" w:rsidRDefault="00927C59" w:rsidP="000A5D2E">
            <w:pPr>
              <w:spacing w:before="40"/>
              <w:ind w:left="-14"/>
              <w:rPr>
                <w:sz w:val="21"/>
                <w:szCs w:val="21"/>
              </w:rPr>
            </w:pPr>
          </w:p>
          <w:p w:rsidR="00927C59" w:rsidRPr="00952FCF" w:rsidRDefault="00927C59" w:rsidP="000A5D2E">
            <w:pPr>
              <w:spacing w:before="40"/>
              <w:ind w:left="-14"/>
              <w:rPr>
                <w:sz w:val="21"/>
                <w:szCs w:val="21"/>
              </w:rPr>
            </w:pPr>
          </w:p>
          <w:p w:rsidR="00927C59" w:rsidRPr="00952FCF" w:rsidRDefault="00927C59" w:rsidP="000A5D2E">
            <w:pPr>
              <w:spacing w:before="40"/>
              <w:ind w:left="-14"/>
              <w:rPr>
                <w:sz w:val="21"/>
                <w:szCs w:val="21"/>
              </w:rPr>
            </w:pPr>
          </w:p>
          <w:p w:rsidR="00927C59" w:rsidRPr="00952FCF" w:rsidRDefault="00927C59" w:rsidP="000A5D2E">
            <w:pPr>
              <w:spacing w:before="40"/>
              <w:ind w:left="-14"/>
              <w:rPr>
                <w:sz w:val="21"/>
                <w:szCs w:val="21"/>
              </w:rPr>
            </w:pPr>
          </w:p>
          <w:p w:rsidR="00927C59" w:rsidRPr="00952FCF" w:rsidRDefault="00927C59" w:rsidP="000A5D2E">
            <w:pPr>
              <w:spacing w:before="40"/>
              <w:ind w:left="-14"/>
              <w:rPr>
                <w:sz w:val="21"/>
                <w:szCs w:val="21"/>
              </w:rPr>
            </w:pPr>
          </w:p>
        </w:tc>
      </w:tr>
    </w:tbl>
    <w:p w:rsidR="00927C59" w:rsidRPr="0008676C" w:rsidRDefault="00927C59" w:rsidP="00927C59">
      <w:pPr>
        <w:pStyle w:val="body"/>
        <w:rPr>
          <w:rFonts w:asciiTheme="majorHAnsi" w:hAnsiTheme="majorHAnsi"/>
          <w:sz w:val="24"/>
          <w:szCs w:val="24"/>
        </w:rPr>
      </w:pPr>
    </w:p>
    <w:p w:rsidR="00927C59" w:rsidRDefault="00927C59" w:rsidP="00927C59">
      <w:pPr>
        <w:pStyle w:val="Note"/>
      </w:pPr>
      <w:r w:rsidRPr="00586760">
        <w:rPr>
          <w:b/>
        </w:rPr>
        <w:t>Notes:</w:t>
      </w:r>
      <w:r>
        <w:t xml:space="preserve"> </w:t>
      </w:r>
    </w:p>
    <w:p w:rsidR="00927C59" w:rsidRDefault="00927C59" w:rsidP="00927C59">
      <w:pPr>
        <w:pStyle w:val="Note"/>
        <w:numPr>
          <w:ilvl w:val="0"/>
          <w:numId w:val="1"/>
        </w:numPr>
        <w:ind w:left="720"/>
      </w:pPr>
      <w:r w:rsidRPr="0008676C">
        <w:t xml:space="preserve">A response of </w:t>
      </w:r>
      <w:r w:rsidRPr="00584AA1">
        <w:rPr>
          <w:b/>
        </w:rPr>
        <w:t>Frequently</w:t>
      </w:r>
      <w:r w:rsidRPr="0008676C">
        <w:t xml:space="preserve"> </w:t>
      </w:r>
      <w:r>
        <w:t>means</w:t>
      </w:r>
      <w:r w:rsidRPr="0008676C">
        <w:t xml:space="preserve"> that the risk or protective factor was mentioned by half or more of the participants; </w:t>
      </w:r>
      <w:r w:rsidRPr="00584AA1">
        <w:rPr>
          <w:b/>
        </w:rPr>
        <w:t>Moderately</w:t>
      </w:r>
      <w:r w:rsidRPr="0008676C">
        <w:t xml:space="preserve"> </w:t>
      </w:r>
      <w:r>
        <w:t>means fewer than half but more than one-</w:t>
      </w:r>
      <w:r w:rsidRPr="0008676C">
        <w:t xml:space="preserve">quarter; </w:t>
      </w:r>
      <w:r w:rsidRPr="00584AA1">
        <w:rPr>
          <w:b/>
        </w:rPr>
        <w:t xml:space="preserve">Infrequently or </w:t>
      </w:r>
      <w:r>
        <w:rPr>
          <w:b/>
        </w:rPr>
        <w:t>N</w:t>
      </w:r>
      <w:r w:rsidRPr="00584AA1">
        <w:rPr>
          <w:b/>
        </w:rPr>
        <w:t xml:space="preserve">ot at </w:t>
      </w:r>
      <w:r>
        <w:rPr>
          <w:b/>
        </w:rPr>
        <w:t>A</w:t>
      </w:r>
      <w:r w:rsidRPr="00584AA1">
        <w:rPr>
          <w:b/>
        </w:rPr>
        <w:t>ll</w:t>
      </w:r>
      <w:r w:rsidRPr="0008676C">
        <w:t xml:space="preserve"> </w:t>
      </w:r>
      <w:r>
        <w:t>means</w:t>
      </w:r>
      <w:r w:rsidRPr="0008676C">
        <w:t xml:space="preserve"> </w:t>
      </w:r>
      <w:r>
        <w:t>fewer than one-</w:t>
      </w:r>
      <w:r w:rsidRPr="0008676C">
        <w:t xml:space="preserve">quarter </w:t>
      </w:r>
      <w:r>
        <w:t>or</w:t>
      </w:r>
      <w:r w:rsidRPr="0008676C">
        <w:t xml:space="preserve"> no</w:t>
      </w:r>
      <w:r>
        <w:t xml:space="preserve"> mention at all. </w:t>
      </w:r>
    </w:p>
    <w:p w:rsidR="00927C59" w:rsidRPr="0008676C" w:rsidRDefault="00927C59" w:rsidP="00927C59">
      <w:pPr>
        <w:pStyle w:val="Note"/>
        <w:numPr>
          <w:ilvl w:val="0"/>
          <w:numId w:val="1"/>
        </w:numPr>
        <w:ind w:left="720"/>
      </w:pPr>
      <w:r w:rsidRPr="009C214C">
        <w:t xml:space="preserve">A response of </w:t>
      </w:r>
      <w:r w:rsidRPr="00584AA1">
        <w:rPr>
          <w:b/>
        </w:rPr>
        <w:t>Yes</w:t>
      </w:r>
      <w:r w:rsidRPr="009C214C">
        <w:t xml:space="preserve"> to “Supported by Quantitative Data” means that data related to the risk or protective factor </w:t>
      </w:r>
      <w:r>
        <w:t xml:space="preserve">are </w:t>
      </w:r>
      <w:r w:rsidRPr="009C214C">
        <w:t xml:space="preserve">being experienced or </w:t>
      </w:r>
      <w:r>
        <w:t xml:space="preserve">are </w:t>
      </w:r>
      <w:r w:rsidRPr="009C214C">
        <w:t>strongly influencing conditions in the community.</w:t>
      </w:r>
      <w:r>
        <w:t xml:space="preserve"> </w:t>
      </w:r>
      <w:r w:rsidRPr="00584AA1">
        <w:rPr>
          <w:b/>
        </w:rPr>
        <w:t>No or N/A</w:t>
      </w:r>
      <w:r>
        <w:t xml:space="preserve"> means that</w:t>
      </w:r>
      <w:r w:rsidRPr="0008676C">
        <w:t xml:space="preserve"> </w:t>
      </w:r>
      <w:r>
        <w:t xml:space="preserve">either </w:t>
      </w:r>
      <w:r w:rsidRPr="0008676C">
        <w:t>data</w:t>
      </w:r>
      <w:r>
        <w:t xml:space="preserve"> were unavailable</w:t>
      </w:r>
      <w:r w:rsidRPr="0008676C">
        <w:t>,</w:t>
      </w:r>
      <w:r>
        <w:t xml:space="preserve"> or there</w:t>
      </w:r>
      <w:r w:rsidRPr="0008676C">
        <w:t xml:space="preserve"> </w:t>
      </w:r>
      <w:r>
        <w:t>is no clear</w:t>
      </w:r>
      <w:r w:rsidRPr="0008676C">
        <w:t xml:space="preserve"> indication that the risk or protective factor is a strong influencer of conditions in the community, or that the analysis is not applicable to your community.</w:t>
      </w:r>
    </w:p>
    <w:p w:rsidR="00927C59" w:rsidRDefault="00927C59" w:rsidP="00927C59">
      <w:pPr>
        <w:spacing w:after="200" w:line="276" w:lineRule="auto"/>
        <w:rPr>
          <w:b/>
          <w:bCs/>
          <w:smallCaps/>
          <w:sz w:val="32"/>
          <w:szCs w:val="24"/>
          <w:lang w:bidi="en-US"/>
        </w:rPr>
      </w:pPr>
      <w:bookmarkStart w:id="0" w:name="_GoBack"/>
      <w:bookmarkEnd w:id="0"/>
    </w:p>
    <w:p w:rsidR="00E24382" w:rsidRDefault="00E24382"/>
    <w:sectPr w:rsidR="00E24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enlo Regular">
    <w:altName w:val="Arial"/>
    <w:charset w:val="00"/>
    <w:family w:val="auto"/>
    <w:pitch w:val="variable"/>
    <w:sig w:usb0="00000000" w:usb1="D200F9FB" w:usb2="02000028"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967E8"/>
    <w:multiLevelType w:val="hybridMultilevel"/>
    <w:tmpl w:val="FA566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59"/>
    <w:rsid w:val="00927C59"/>
    <w:rsid w:val="00E2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EBF7A-92F7-4395-B8BF-CB0244B2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C59"/>
    <w:rPr>
      <w:color w:val="0563C1" w:themeColor="hyperlink"/>
      <w:u w:val="single"/>
    </w:rPr>
  </w:style>
  <w:style w:type="paragraph" w:customStyle="1" w:styleId="Head1">
    <w:name w:val="Head 1"/>
    <w:basedOn w:val="Normal"/>
    <w:qFormat/>
    <w:rsid w:val="00927C59"/>
    <w:pPr>
      <w:spacing w:after="180"/>
    </w:pPr>
    <w:rPr>
      <w:b/>
      <w:bCs/>
      <w:smallCaps/>
      <w:sz w:val="32"/>
      <w:szCs w:val="24"/>
    </w:rPr>
  </w:style>
  <w:style w:type="paragraph" w:customStyle="1" w:styleId="Note">
    <w:name w:val="Note"/>
    <w:basedOn w:val="Normal"/>
    <w:qFormat/>
    <w:rsid w:val="00927C59"/>
    <w:pPr>
      <w:spacing w:before="100" w:after="100"/>
      <w:ind w:left="360"/>
    </w:pPr>
  </w:style>
  <w:style w:type="paragraph" w:customStyle="1" w:styleId="body">
    <w:name w:val="body"/>
    <w:basedOn w:val="Normal"/>
    <w:rsid w:val="00927C59"/>
    <w:rPr>
      <w:rFonts w:ascii="Calibri" w:eastAsia="Times New Roman" w:hAnsi="Calibri" w:cs="Times New Roman"/>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ptus.samhsa.gov/sites/default/files/captresource/riskprotectivefactorsheavybingedrinking.rem.412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Ben</dc:creator>
  <cp:keywords/>
  <dc:description/>
  <cp:lastModifiedBy>Spooner, Ben</cp:lastModifiedBy>
  <cp:revision>1</cp:revision>
  <dcterms:created xsi:type="dcterms:W3CDTF">2015-09-03T14:49:00Z</dcterms:created>
  <dcterms:modified xsi:type="dcterms:W3CDTF">2015-09-03T14:49:00Z</dcterms:modified>
</cp:coreProperties>
</file>