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82" w:rsidRPr="005343B9" w:rsidRDefault="003F3982" w:rsidP="003F3982">
      <w:pPr>
        <w:pStyle w:val="Head1"/>
        <w:rPr>
          <w:lang w:bidi="en-US"/>
        </w:rPr>
      </w:pPr>
      <w:r w:rsidRPr="005343B9">
        <w:t>SAPC Logic Model Development Guide</w:t>
      </w:r>
    </w:p>
    <w:p w:rsidR="003F3982" w:rsidRDefault="003F3982" w:rsidP="003F3982">
      <w:pPr>
        <w:pStyle w:val="body"/>
      </w:pPr>
      <w:r>
        <w:t>By providing</w:t>
      </w:r>
      <w:r w:rsidRPr="00E62475">
        <w:t xml:space="preserve"> a common language and </w:t>
      </w:r>
      <w:r>
        <w:t xml:space="preserve">a </w:t>
      </w:r>
      <w:r w:rsidRPr="00E62475">
        <w:t>point of reference</w:t>
      </w:r>
      <w:r>
        <w:t xml:space="preserve"> regarding what your group hopes to accomplish, logic models create a solid foundation for evaluating your program’s success. </w:t>
      </w:r>
    </w:p>
    <w:p w:rsidR="003F3982" w:rsidRDefault="003F3982" w:rsidP="003F3982">
      <w:pPr>
        <w:pStyle w:val="body"/>
      </w:pPr>
    </w:p>
    <w:p w:rsidR="003F3982" w:rsidRPr="00AD71EF" w:rsidRDefault="003F3982" w:rsidP="003F3982">
      <w:pPr>
        <w:pStyle w:val="bullets"/>
        <w:rPr>
          <w:color w:val="3366FF"/>
          <w:u w:val="single"/>
          <w:lang w:bidi="en-US"/>
        </w:rPr>
      </w:pPr>
      <w:r w:rsidRPr="00AD71EF">
        <w:rPr>
          <w:color w:val="3366FF"/>
          <w:u w:val="single"/>
          <w:lang w:bidi="en-US"/>
        </w:rPr>
        <w:t>Logic Model Template</w:t>
      </w:r>
    </w:p>
    <w:p w:rsidR="003F3982" w:rsidRPr="00AD71EF" w:rsidRDefault="003F3982" w:rsidP="003F3982">
      <w:pPr>
        <w:pStyle w:val="bullets"/>
        <w:rPr>
          <w:color w:val="3366FF"/>
          <w:u w:val="single"/>
          <w:lang w:bidi="en-US"/>
        </w:rPr>
      </w:pPr>
      <w:r w:rsidRPr="00AD71EF">
        <w:rPr>
          <w:color w:val="3366FF"/>
          <w:u w:val="single"/>
          <w:lang w:bidi="en-US"/>
        </w:rPr>
        <w:t>Logic Model Example</w:t>
      </w:r>
    </w:p>
    <w:p w:rsidR="003F3982" w:rsidRPr="00AD71EF" w:rsidRDefault="003F3982" w:rsidP="003F3982">
      <w:pPr>
        <w:pStyle w:val="bullets"/>
        <w:rPr>
          <w:color w:val="3366FF"/>
          <w:u w:val="single"/>
          <w:lang w:bidi="en-US"/>
        </w:rPr>
      </w:pPr>
      <w:r w:rsidRPr="00AD71EF">
        <w:rPr>
          <w:color w:val="3366FF"/>
          <w:u w:val="single"/>
          <w:lang w:bidi="en-US"/>
        </w:rPr>
        <w:t xml:space="preserve">Developing Your Logic Model </w:t>
      </w:r>
    </w:p>
    <w:p w:rsidR="003F3982" w:rsidRDefault="003F3982" w:rsidP="003F3982">
      <w:pPr>
        <w:pStyle w:val="body"/>
      </w:pPr>
    </w:p>
    <w:p w:rsidR="003F3982" w:rsidRPr="005343B9" w:rsidRDefault="003F3982" w:rsidP="003F3982">
      <w:pPr>
        <w:pStyle w:val="Head2"/>
        <w:rPr>
          <w:lang w:bidi="en-US"/>
        </w:rPr>
      </w:pPr>
      <w:bookmarkStart w:id="0" w:name="_Toc297913140"/>
      <w:r w:rsidRPr="005343B9">
        <w:rPr>
          <w:lang w:bidi="en-US"/>
        </w:rPr>
        <w:t>Logic Model Template</w:t>
      </w:r>
      <w:bookmarkEnd w:id="0"/>
    </w:p>
    <w:p w:rsidR="003F3982" w:rsidRPr="005343B9" w:rsidRDefault="003F3982" w:rsidP="003F3982">
      <w:pPr>
        <w:rPr>
          <w:lang w:bidi="en-US"/>
        </w:rPr>
      </w:pPr>
      <w:r w:rsidRPr="005343B9">
        <w:rPr>
          <w:noProof/>
        </w:rPr>
        <mc:AlternateContent>
          <mc:Choice Requires="wpg">
            <w:drawing>
              <wp:inline distT="0" distB="0" distL="0" distR="0" wp14:anchorId="2224A106" wp14:editId="72422B2F">
                <wp:extent cx="5943600" cy="1720215"/>
                <wp:effectExtent l="0" t="0" r="25400" b="32385"/>
                <wp:docPr id="9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43600" cy="1720215"/>
                          <a:chOff x="2527" y="2642"/>
                          <a:chExt cx="10523" cy="3066"/>
                        </a:xfrm>
                      </wpg:grpSpPr>
                      <wps:wsp>
                        <wps:cNvPr id="9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27" y="2642"/>
                            <a:ext cx="10523" cy="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2186"/>
                        <wpg:cNvGrpSpPr>
                          <a:grpSpLocks/>
                        </wpg:cNvGrpSpPr>
                        <wpg:grpSpPr bwMode="auto">
                          <a:xfrm>
                            <a:off x="2527" y="2642"/>
                            <a:ext cx="10523" cy="3066"/>
                            <a:chOff x="144" y="1934"/>
                            <a:chExt cx="5472" cy="1042"/>
                          </a:xfrm>
                        </wpg:grpSpPr>
                        <wps:wsp>
                          <wps:cNvPr id="94" name="Rectangle 2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1934"/>
                              <a:ext cx="5472" cy="158"/>
                            </a:xfrm>
                            <a:prstGeom prst="rect">
                              <a:avLst/>
                            </a:prstGeom>
                            <a:solidFill>
                              <a:srgbClr val="C5E1FE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Cs w:val="32"/>
                                  </w:rPr>
                                  <w:t>Problem identified by BSAS: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95" name="Rectangle 2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2592"/>
                              <a:ext cx="768" cy="384"/>
                            </a:xfrm>
                            <a:prstGeom prst="rect">
                              <a:avLst/>
                            </a:prstGeom>
                            <a:solidFill>
                              <a:srgbClr val="7DA7D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Intervening Variable(s)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96" name="Rectangle 2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" y="2592"/>
                              <a:ext cx="624" cy="384"/>
                            </a:xfrm>
                            <a:prstGeom prst="rect">
                              <a:avLst/>
                            </a:prstGeom>
                            <a:solidFill>
                              <a:srgbClr val="56A8F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Short-Term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97" name="Rectangle 2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2592"/>
                              <a:ext cx="720" cy="384"/>
                            </a:xfrm>
                            <a:prstGeom prst="rect">
                              <a:avLst/>
                            </a:prstGeom>
                            <a:solidFill>
                              <a:srgbClr val="CBDCE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Target Group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98" name="Rectangle 2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" y="2592"/>
                              <a:ext cx="571" cy="384"/>
                            </a:xfrm>
                            <a:prstGeom prst="rect">
                              <a:avLst/>
                            </a:prstGeom>
                            <a:solidFill>
                              <a:srgbClr val="E5EDF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Strategy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99" name="Rectangle 2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2" y="2592"/>
                              <a:ext cx="672" cy="384"/>
                            </a:xfrm>
                            <a:prstGeom prst="rect">
                              <a:avLst/>
                            </a:prstGeom>
                            <a:solidFill>
                              <a:srgbClr val="B1CA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Outputs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100" name="Rectangle 2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2439"/>
                              <a:ext cx="2508" cy="113"/>
                            </a:xfrm>
                            <a:prstGeom prst="rect">
                              <a:avLst/>
                            </a:prstGeom>
                            <a:solidFill>
                              <a:srgbClr val="56A8F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9"/>
                                    <w:szCs w:val="28"/>
                                  </w:rPr>
                                  <w:t>Outcomes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101" name="Rectangle 2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2592"/>
                              <a:ext cx="783" cy="384"/>
                            </a:xfrm>
                            <a:prstGeom prst="rect">
                              <a:avLst/>
                            </a:prstGeom>
                            <a:solidFill>
                              <a:srgbClr val="56A8F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Intermediate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  <wps:wsp>
                          <wps:cNvPr id="102" name="Rectangle 2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2592"/>
                              <a:ext cx="1008" cy="384"/>
                            </a:xfrm>
                            <a:prstGeom prst="rect">
                              <a:avLst/>
                            </a:prstGeom>
                            <a:solidFill>
                              <a:srgbClr val="56A8F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982" w:rsidRPr="00C22F4B" w:rsidRDefault="003F3982" w:rsidP="003F39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22F4B">
                                  <w:rPr>
                                    <w:rFonts w:ascii="Georgia" w:hAnsi="Georgia" w:cs="Georg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Long-Term</w:t>
                                </w:r>
                              </w:p>
                            </w:txbxContent>
                          </wps:txbx>
                          <wps:bodyPr rot="0" vert="horz" wrap="square" lIns="31089" tIns="31089" rIns="31089" bIns="31089" anchor="ctr" anchorCtr="0" upright="1">
                            <a:noAutofit/>
                          </wps:bodyPr>
                        </wps:wsp>
                      </wpg:grpSp>
                      <wps:wsp>
                        <wps:cNvPr id="103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2527" y="3385"/>
                            <a:ext cx="10523" cy="465"/>
                          </a:xfrm>
                          <a:prstGeom prst="rect">
                            <a:avLst/>
                          </a:prstGeom>
                          <a:solidFill>
                            <a:srgbClr val="99CA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982" w:rsidRDefault="003F3982" w:rsidP="003F3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Cs w:val="32"/>
                                </w:rPr>
                                <w:t>Local manifestation of the problem:</w:t>
                              </w:r>
                            </w:p>
                          </w:txbxContent>
                        </wps:txbx>
                        <wps:bodyPr rot="0" vert="horz" wrap="square" lIns="31089" tIns="31089" rIns="31089" bIns="31089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4A106" id="Group 2" o:spid="_x0000_s1026" style="width:468pt;height:135.45pt;mso-position-horizontal-relative:char;mso-position-vertical-relative:line" coordorigin="2527,2642" coordsize="10523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">
                <o:lock v:ext="edit" aspectratio="t"/>
                <v:rect id="AutoShape 3" o:spid="_x0000_s1027" style="position:absolute;left:2527;top:2642;width:10523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Pqc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eBz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6nEAAAA2wAAAA8AAAAAAAAAAAAAAAAAmAIAAGRycy9k&#10;b3ducmV2LnhtbFBLBQYAAAAABAAEAPUAAACJAwAAAAA=&#10;" filled="f" stroked="f">
                  <o:lock v:ext="edit" aspectratio="t"/>
                </v:rect>
                <v:group id="Group 2186" o:spid="_x0000_s1028" style="position:absolute;left:2527;top:2642;width:10523;height:3066" coordorigin="144,1934" coordsize="547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2144" o:spid="_x0000_s1029" style="position:absolute;left:144;top:1934;width:5472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VA8UA&#10;AADbAAAADwAAAGRycy9kb3ducmV2LnhtbESP0WrCQBRE3wv+w3KFvtWNIm2MriJSoYVQmpgPuGSv&#10;STB7N2S3MenXdwuFPg4zc4bZHUbTioF611hWsFxEIIhLqxuuFBSX81MMwnlkja1lUjCRg8N+9rDD&#10;RNs7ZzTkvhIBwi5BBbX3XSKlK2sy6Ba2Iw7e1fYGfZB9JXWP9wA3rVxF0bM02HBYqLGjU03lLf8y&#10;CuRHOhWv7y+f38c4HS6ZLCa3KpR6nI/HLQhPo/8P/7XftILNG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VUDxQAAANsAAAAPAAAAAAAAAAAAAAAAAJgCAABkcnMv&#10;ZG93bnJldi54bWxQSwUGAAAAAAQABAD1AAAAigMAAAAA&#10;" fillcolor="#c5e1fe">
                    <v:textbox inset=".86358mm,.86358mm,.86358mm,.86358mm">
                      <w:txbxContent>
                        <w:p w:rsidR="003F3982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Cs w:val="32"/>
                            </w:rPr>
                          </w:pPr>
                          <w:r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Cs w:val="32"/>
                            </w:rPr>
                            <w:t>Problem identified by BSAS:</w:t>
                          </w:r>
                        </w:p>
                      </w:txbxContent>
                    </v:textbox>
                  </v:rect>
                  <v:rect id="Rectangle 2159" o:spid="_x0000_s1030" style="position:absolute;left:144;top:2592;width:768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w0cMA&#10;AADbAAAADwAAAGRycy9kb3ducmV2LnhtbESP3WrCQBSE7wXfYTmCd7qxYKnRVcQfEAtFjXh9zB6T&#10;YPZsml1j+vbdQsHLYWa+YWaL1pSiodoVlhWMhhEI4tTqgjMF52Q7+ADhPLLG0jIp+CEHi3m3M8NY&#10;2ycfqTn5TAQIuxgV5N5XsZQuzcmgG9qKOHg3Wxv0QdaZ1DU+A9yU8i2K3qXBgsNCjhWtckrvp4dR&#10;YIrLZn//dmtCc/38OmDzSJJGqX6vXU5BeGr9K/zf3mkFkzH8fQ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w0cMAAADbAAAADwAAAAAAAAAAAAAAAACYAgAAZHJzL2Rv&#10;d25yZXYueG1sUEsFBgAAAAAEAAQA9QAAAIgDAAAAAA==&#10;" fillcolor="#7da7d1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Intervening Variable(s)</w:t>
                          </w:r>
                        </w:p>
                      </w:txbxContent>
                    </v:textbox>
                  </v:rect>
                  <v:rect id="Rectangle 2163" o:spid="_x0000_s1031" style="position:absolute;left:3120;top:2592;width:62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teMYA&#10;AADbAAAADwAAAGRycy9kb3ducmV2LnhtbESPT2vCQBTE74V+h+UJvdWNgsFGVxHxTy/W1hbR2yP7&#10;TFKzb0N2G5Nv3xUKPQ4z8xtmOm9NKRqqXWFZwaAfgSBOrS44U/D1uX4eg3AeWWNpmRR05GA+e3yY&#10;YqLtjT+oOfhMBAi7BBXk3leJlC7NyaDr24o4eBdbG/RB1pnUNd4C3JRyGEWxNFhwWMixomVO6fXw&#10;YxS8ncdFvL/uju8dbb+702o7ajas1FOvXUxAeGr9f/iv/aoVvMRw/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3teMYAAADbAAAADwAAAAAAAAAAAAAAAACYAgAAZHJz&#10;L2Rvd25yZXYueG1sUEsFBgAAAAAEAAQA9QAAAIsDAAAAAA==&#10;" fillcolor="#56a8fc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Short-Term</w:t>
                          </w:r>
                        </w:p>
                      </w:txbxContent>
                    </v:textbox>
                  </v:rect>
                  <v:rect id="Rectangle 2172" o:spid="_x0000_s1032" style="position:absolute;left:1584;top:2592;width:720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AxcQA&#10;AADbAAAADwAAAGRycy9kb3ducmV2LnhtbESPT4vCMBTE7wt+h/AEb2vq4q5ajaKCsOAi+Ofi7dk8&#10;22Lz0m2iVj+9EQSPw8z8hhlNalOIC1Uut6yg045AECdW55wq2G0Xn30QziNrLCyTghs5mIwbHyOM&#10;tb3ymi4bn4oAYRejgsz7MpbSJRkZdG1bEgfvaCuDPsgqlbrCa4CbQn5F0Y80mHNYyLCkeUbJaXM2&#10;Ckq/z0+Dw999hmbd/f+2y/7q1lOq1aynQxCeav8Ov9q/WsGgB88v4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AMXEAAAA2wAAAA8AAAAAAAAAAAAAAAAAmAIAAGRycy9k&#10;b3ducmV2LnhtbFBLBQYAAAAABAAEAPUAAACJAwAAAAA=&#10;" fillcolor="#cbdced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Target Group</w:t>
                          </w:r>
                        </w:p>
                      </w:txbxContent>
                    </v:textbox>
                  </v:rect>
                  <v:rect id="Rectangle 2173" o:spid="_x0000_s1033" style="position:absolute;left:965;top:2592;width:571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/vcAA&#10;AADbAAAADwAAAGRycy9kb3ducmV2LnhtbERPzYrCMBC+C/sOYYS9aaqiq9UoIiiyoIvWBxiasSk2&#10;k26T1fr25rDg8eP7X6xaW4k7Nb50rGDQT0AQ506XXCi4ZNveFIQPyBorx6TgSR5Wy4/OAlPtHnyi&#10;+zkUIoawT1GBCaFOpfS5IYu+72riyF1dYzFE2BRSN/iI4baSwySZSIslxwaDNW0M5bfzn1VwGw9/&#10;aJStD2y4OO6/v36z3Wai1Ge3Xc9BBGrDW/zv3msFszg2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g/vcAAAADbAAAADwAAAAAAAAAAAAAAAACYAgAAZHJzL2Rvd25y&#10;ZXYueG1sUEsFBgAAAAAEAAQA9QAAAIUDAAAAAA==&#10;" fillcolor="#e5edf6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Strategy</w:t>
                          </w:r>
                        </w:p>
                      </w:txbxContent>
                    </v:textbox>
                  </v:rect>
                  <v:rect id="Rectangle 2174" o:spid="_x0000_s1034" style="position:absolute;left:2352;top:2592;width:672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PRMUA&#10;AADbAAAADwAAAGRycy9kb3ducmV2LnhtbESPT2vCQBTE7wW/w/IEL0U39hA0uooKJaUFoSqIt0f2&#10;mT9m34bsGtNv3y0IPQ4z8xtmue5NLTpqXWlZwXQSgSDOrC45V3A6vo9nIJxH1lhbJgU/5GC9Grws&#10;MdH2wd/UHXwuAoRdggoK75tESpcVZNBNbEMcvKttDfog21zqFh8Bbmr5FkWxNFhyWCiwoV1B2e1w&#10;NwrS6rz/SreX/pJ6Or/O4s+uqmKlRsN+swDhqff/4Wf7QyuYz+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9ExQAAANsAAAAPAAAAAAAAAAAAAAAAAJgCAABkcnMv&#10;ZG93bnJldi54bWxQSwUGAAAAAAQABAD1AAAAigMAAAAA&#10;" fillcolor="#b1cae3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Outputs</w:t>
                          </w:r>
                        </w:p>
                      </w:txbxContent>
                    </v:textbox>
                  </v:rect>
                  <v:rect id="Rectangle 2176" o:spid="_x0000_s1035" style="position:absolute;left:3108;top:2439;width:2508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3z18cA&#10;AADcAAAADwAAAGRycy9kb3ducmV2LnhtbESPT2vCQBDF7wW/wzJCb3WjUJHUVYrU2kv911La25Cd&#10;JqnZ2ZDdxuTbOwfB2wzvzXu/mS87V6mWmlB6NjAeJaCIM29Lzg18fqwfZqBCRLZYeSYDPQVYLgZ3&#10;c0ytP/OB2mPMlYRwSNFAEWOdah2yghyGka+JRfv1jcMoa5Nr2+BZwl2lJ0ky1Q5LloYCa1oVlJ2O&#10;/87A9mdWTnen9699T5u//vtl89i+sjH3w+75CVSkLt7M1+s3K/iJ4MszMoF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t89fHAAAA3AAAAA8AAAAAAAAAAAAAAAAAmAIAAGRy&#10;cy9kb3ducmV2LnhtbFBLBQYAAAAABAAEAPUAAACMAwAAAAA=&#10;" fillcolor="#56a8fc">
                    <v:textbox inset=".86358mm,.86358mm,.86358mm,.86358mm">
                      <w:txbxContent>
                        <w:p w:rsidR="003F3982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9"/>
                              <w:szCs w:val="28"/>
                            </w:rPr>
                          </w:pPr>
                          <w:r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9"/>
                              <w:szCs w:val="28"/>
                            </w:rPr>
                            <w:t>Outcomes</w:t>
                          </w:r>
                        </w:p>
                      </w:txbxContent>
                    </v:textbox>
                  </v:rect>
                  <v:rect id="Rectangle 2178" o:spid="_x0000_s1036" style="position:absolute;left:3792;top:2592;width:783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WTMMA&#10;AADcAAAADwAAAGRycy9kb3ducmV2LnhtbERPTWvCQBC9C/6HZYTedGOhIqmriGj10latSHsbsmMS&#10;zc6G7BqTf+8KBW/zeJ8zmTWmEDVVLresYDiIQBAnVuecKjj8rPpjEM4jaywsk4KWHMym3c4EY21v&#10;vKN671MRQtjFqCDzvoyldElGBt3AlsSBO9nKoA+wSqWu8BbCTSFfo2gkDeYcGjIsaZFRctlfjYKv&#10;v3E++r58Hrctrc/t73L9Vn+wUi+9Zv4OwlPjn+J/90aH+dEQ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FWTMMAAADcAAAADwAAAAAAAAAAAAAAAACYAgAAZHJzL2Rv&#10;d25yZXYueG1sUEsFBgAAAAAEAAQA9QAAAIgDAAAAAA==&#10;" fillcolor="#56a8fc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Intermediate</w:t>
                          </w:r>
                        </w:p>
                      </w:txbxContent>
                    </v:textbox>
                  </v:rect>
                  <v:rect id="Rectangle 2180" o:spid="_x0000_s1037" style="position:absolute;left:4608;top:2592;width:1008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IO8QA&#10;AADcAAAADwAAAGRycy9kb3ducmV2LnhtbERPS2vCQBC+F/wPywje6kbBIKmriNjaS1u1Iu1tyI5J&#10;NDsbsts8/n23UPA2H99zFqvOlKKh2hWWFUzGEQji1OqCMwWnz+fHOQjnkTWWlklBTw5Wy8HDAhNt&#10;Wz5Qc/SZCCHsElSQe18lUro0J4NubCviwF1sbdAHWGdS19iGcFPKaRTF0mDBoSHHijY5pbfjj1Hw&#10;/j0v4o/b23nf0+7af213s+aFlRoNu/UTCE+dv4v/3a86zI+m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yDvEAAAA3AAAAA8AAAAAAAAAAAAAAAAAmAIAAGRycy9k&#10;b3ducmV2LnhtbFBLBQYAAAAABAAEAPUAAACJAwAAAAA=&#10;" fillcolor="#56a8fc">
                    <v:textbox inset=".86358mm,.86358mm,.86358mm,.86358mm">
                      <w:txbxContent>
                        <w:p w:rsidR="003F3982" w:rsidRPr="00C22F4B" w:rsidRDefault="003F3982" w:rsidP="003F39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C22F4B">
                            <w:rPr>
                              <w:rFonts w:ascii="Georgia" w:hAnsi="Georgia" w:cs="Georg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Long-Term</w:t>
                          </w:r>
                        </w:p>
                      </w:txbxContent>
                    </v:textbox>
                  </v:rect>
                </v:group>
                <v:rect id="Rectangle 2144" o:spid="_x0000_s1038" style="position:absolute;left:2527;top:3385;width:10523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93MAA&#10;AADcAAAADwAAAGRycy9kb3ducmV2LnhtbERPTYvCMBC9L/gfwgje1sTuKlKNIrKCe1R78Dg0Y1ts&#10;JrWJtv57s7DgbR7vc5br3tbiQa2vHGuYjBUI4tyZigsN2Wn3OQfhA7LB2jFpeJKH9WrwscTUuI4P&#10;9DiGQsQQ9ilqKENoUil9XpJFP3YNceQurrUYImwLaVrsYritZaLUTFqsODaU2NC2pPx6vFsN02z3&#10;o6z8vttQTW8XWSTn3y7RejTsNwsQgfrwFv+79ybOV1/w9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L93MAAAADcAAAADwAAAAAAAAAAAAAAAACYAgAAZHJzL2Rvd25y&#10;ZXYueG1sUEsFBgAAAAAEAAQA9QAAAIUDAAAAAA==&#10;" fillcolor="#99cafd">
                  <v:textbox inset=".86358mm,.86358mm,.86358mm,.86358mm">
                    <w:txbxContent>
                      <w:p w:rsidR="003F3982" w:rsidRDefault="003F3982" w:rsidP="003F3982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Cs w:val="32"/>
                          </w:rPr>
                        </w:pPr>
                        <w:r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Cs w:val="32"/>
                          </w:rPr>
                          <w:t>Local manifestation of the problem: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013"/>
        <w:gridCol w:w="1325"/>
        <w:gridCol w:w="1310"/>
        <w:gridCol w:w="1210"/>
        <w:gridCol w:w="1350"/>
        <w:gridCol w:w="1845"/>
      </w:tblGrid>
      <w:tr w:rsidR="003F3982" w:rsidRPr="005343B9" w:rsidTr="00950E4C">
        <w:trPr>
          <w:trHeight w:val="4791"/>
          <w:tblCellSpacing w:w="0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5343B9" w:rsidRDefault="003F3982" w:rsidP="00950E4C">
            <w:pPr>
              <w:rPr>
                <w:lang w:bidi="en-US"/>
              </w:rPr>
            </w:pPr>
            <w:r w:rsidRPr="005343B9">
              <w:rPr>
                <w:lang w:bidi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5343B9" w:rsidRDefault="003F3982" w:rsidP="00950E4C">
            <w:pPr>
              <w:rPr>
                <w:lang w:bidi="en-US"/>
              </w:rPr>
            </w:pPr>
          </w:p>
        </w:tc>
      </w:tr>
    </w:tbl>
    <w:p w:rsidR="003F3982" w:rsidRDefault="003F3982" w:rsidP="003F3982">
      <w:pPr>
        <w:pStyle w:val="Head2"/>
        <w:rPr>
          <w:lang w:bidi="en-US"/>
        </w:rPr>
      </w:pPr>
      <w:bookmarkStart w:id="1" w:name="_Toc297883736"/>
    </w:p>
    <w:p w:rsidR="003F3982" w:rsidRDefault="003F3982" w:rsidP="003F3982">
      <w:pPr>
        <w:spacing w:after="200" w:line="276" w:lineRule="auto"/>
        <w:rPr>
          <w:rFonts w:ascii="Arial Narrow" w:hAnsi="Arial Narrow"/>
          <w:b/>
          <w:bCs/>
          <w:sz w:val="26"/>
          <w:lang w:bidi="en-US"/>
        </w:rPr>
      </w:pPr>
      <w:r>
        <w:rPr>
          <w:lang w:bidi="en-US"/>
        </w:rPr>
        <w:br w:type="page"/>
      </w:r>
    </w:p>
    <w:p w:rsidR="003F3982" w:rsidRDefault="003F3982" w:rsidP="003F3982">
      <w:pPr>
        <w:pStyle w:val="Head2"/>
        <w:rPr>
          <w:lang w:bidi="en-US"/>
        </w:rPr>
      </w:pPr>
      <w:bookmarkStart w:id="2" w:name="_Toc297913141"/>
      <w:r>
        <w:rPr>
          <w:lang w:bidi="en-US"/>
        </w:rPr>
        <w:lastRenderedPageBreak/>
        <w:t>Logic Model Example</w:t>
      </w:r>
      <w:bookmarkEnd w:id="2"/>
    </w:p>
    <w:p w:rsidR="003F3982" w:rsidRDefault="003F3982" w:rsidP="003F3982">
      <w:pPr>
        <w:pStyle w:val="body"/>
        <w:spacing w:after="140"/>
      </w:pPr>
      <w:r>
        <w:rPr>
          <w:rFonts w:asciiTheme="minorHAnsi" w:hAnsiTheme="minorHAnsi"/>
          <w:color w:val="000000" w:themeColor="text1"/>
        </w:rPr>
        <w:t>Here</w:t>
      </w:r>
      <w:r w:rsidRPr="008A2AB0">
        <w:rPr>
          <w:rFonts w:asciiTheme="minorHAnsi" w:hAnsiTheme="minorHAnsi"/>
          <w:color w:val="000000" w:themeColor="text1"/>
        </w:rPr>
        <w:t xml:space="preserve"> is an example of a logic model to address a specific problem: the high rate of alcohol use among local high school students. A key intervening variable</w:t>
      </w:r>
      <w:r>
        <w:rPr>
          <w:rFonts w:asciiTheme="minorHAnsi" w:hAnsiTheme="minorHAnsi"/>
          <w:color w:val="000000" w:themeColor="text1"/>
        </w:rPr>
        <w:t xml:space="preserve"> (</w:t>
      </w:r>
      <w:r w:rsidRPr="008A2AB0">
        <w:rPr>
          <w:rFonts w:asciiTheme="minorHAnsi" w:hAnsiTheme="minorHAnsi"/>
          <w:i/>
          <w:color w:val="000000" w:themeColor="text1"/>
        </w:rPr>
        <w:t>High perceived ease of access to alcohol from commercial sources among 9th–12th-graders in the cluster</w:t>
      </w:r>
      <w:r>
        <w:rPr>
          <w:rFonts w:asciiTheme="minorHAnsi" w:hAnsiTheme="minorHAnsi"/>
          <w:color w:val="000000" w:themeColor="text1"/>
        </w:rPr>
        <w:t xml:space="preserve">) </w:t>
      </w:r>
      <w:r w:rsidRPr="008A2AB0">
        <w:rPr>
          <w:rFonts w:asciiTheme="minorHAnsi" w:hAnsiTheme="minorHAnsi" w:cs="Calibri"/>
          <w:color w:val="000000" w:themeColor="text1"/>
        </w:rPr>
        <w:t xml:space="preserve">is identified, which then drives the selection of the strategy: </w:t>
      </w:r>
      <w:r w:rsidRPr="008A2AB0">
        <w:rPr>
          <w:rFonts w:asciiTheme="minorHAnsi" w:hAnsiTheme="minorHAnsi"/>
          <w:i/>
          <w:color w:val="000000" w:themeColor="text1"/>
        </w:rPr>
        <w:t>Offer responsible beverage service training to all alcohol retail establishments in the cluster</w:t>
      </w:r>
      <w:r w:rsidRPr="00CD582C">
        <w:rPr>
          <w:rFonts w:asciiTheme="minorHAnsi" w:hAnsiTheme="minorHAnsi"/>
          <w:color w:val="000000" w:themeColor="text1"/>
        </w:rPr>
        <w:t>.</w:t>
      </w:r>
      <w:r>
        <w:t xml:space="preserve"> </w:t>
      </w:r>
    </w:p>
    <w:tbl>
      <w:tblPr>
        <w:tblW w:w="5005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90"/>
        <w:gridCol w:w="1149"/>
        <w:gridCol w:w="1402"/>
        <w:gridCol w:w="1402"/>
        <w:gridCol w:w="1346"/>
        <w:gridCol w:w="1438"/>
        <w:gridCol w:w="1424"/>
      </w:tblGrid>
      <w:tr w:rsidR="003F3982" w:rsidRPr="005343B9" w:rsidTr="00950E4C">
        <w:trPr>
          <w:gridBefore w:val="1"/>
          <w:wBefore w:w="4" w:type="pct"/>
          <w:trHeight w:val="494"/>
        </w:trPr>
        <w:tc>
          <w:tcPr>
            <w:tcW w:w="49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F3982" w:rsidRPr="009C235D" w:rsidRDefault="003F3982" w:rsidP="00950E4C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</w:pPr>
            <w:r w:rsidRPr="009C235D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  <w:t xml:space="preserve">Problem identified by BSAS: 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>Underage drinking</w:t>
            </w:r>
          </w:p>
        </w:tc>
      </w:tr>
      <w:tr w:rsidR="003F3982" w:rsidRPr="005343B9" w:rsidTr="00950E4C">
        <w:trPr>
          <w:gridBefore w:val="1"/>
          <w:wBefore w:w="4" w:type="pct"/>
          <w:trHeight w:val="685"/>
        </w:trPr>
        <w:tc>
          <w:tcPr>
            <w:tcW w:w="49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F3982" w:rsidRPr="009C235D" w:rsidRDefault="003F3982" w:rsidP="00950E4C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</w:pPr>
            <w:r w:rsidRPr="009C235D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  <w:t>Local manifestation of the problem: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 xml:space="preserve"> In 2014, past-30-day use of alcohol among high school students in the cluster was higher than the state average of 36% (Smithtown: 42%; Jackson: 38%; Redmond: 39%)</w:t>
            </w:r>
          </w:p>
          <w:p w:rsidR="003F3982" w:rsidRPr="009C235D" w:rsidRDefault="003F3982" w:rsidP="00950E4C">
            <w:pPr>
              <w:autoSpaceDE w:val="0"/>
              <w:autoSpaceDN w:val="0"/>
              <w:adjustRightInd w:val="0"/>
              <w:spacing w:line="272" w:lineRule="exact"/>
              <w:ind w:left="725" w:right="-20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</w:pPr>
            <w:r w:rsidRPr="009C235D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  <w:t xml:space="preserve">Note: 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 xml:space="preserve">A </w:t>
            </w:r>
            <w:r w:rsidRPr="00615D78">
              <w:rPr>
                <w:rFonts w:ascii="Arial Narrow" w:eastAsia="Times New Roman" w:hAnsi="Arial Narrow" w:cs="Times New Roman"/>
                <w:bCs/>
                <w:i/>
                <w:sz w:val="20"/>
                <w:szCs w:val="24"/>
                <w:lang w:bidi="en-US"/>
              </w:rPr>
              <w:t>cluster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>—which is the organizing structure for SAPC grantees—is a group of towns or municipalities that are banding together to implement a program or grant.</w:t>
            </w:r>
          </w:p>
        </w:tc>
      </w:tr>
      <w:tr w:rsidR="003F3982" w:rsidRPr="00CD1EAD" w:rsidTr="00950E4C">
        <w:tblPrEx>
          <w:tblCellSpacing w:w="0" w:type="dxa"/>
        </w:tblPrEx>
        <w:trPr>
          <w:trHeight w:val="195"/>
          <w:tblCellSpacing w:w="0" w:type="dxa"/>
        </w:trPr>
        <w:tc>
          <w:tcPr>
            <w:tcW w:w="64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615D78" w:rsidRDefault="003F3982" w:rsidP="00950E4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Intervening Variable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615D78" w:rsidRDefault="003F3982" w:rsidP="00950E4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Strategy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615D78" w:rsidRDefault="003F3982" w:rsidP="00950E4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Target Group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615D78" w:rsidRDefault="003F3982" w:rsidP="00950E4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Outputs</w:t>
            </w:r>
          </w:p>
        </w:tc>
        <w:tc>
          <w:tcPr>
            <w:tcW w:w="22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144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Outcomes</w:t>
            </w:r>
          </w:p>
        </w:tc>
      </w:tr>
      <w:tr w:rsidR="003F3982" w:rsidRPr="005343B9" w:rsidTr="00950E4C">
        <w:tblPrEx>
          <w:tblCellSpacing w:w="0" w:type="dxa"/>
        </w:tblPrEx>
        <w:trPr>
          <w:trHeight w:val="195"/>
          <w:tblCellSpacing w:w="0" w:type="dxa"/>
        </w:trPr>
        <w:tc>
          <w:tcPr>
            <w:tcW w:w="64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144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6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144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144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144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8A2AB0" w:rsidRDefault="003F3982" w:rsidP="00950E4C">
            <w:pPr>
              <w:spacing w:before="40" w:after="40"/>
              <w:ind w:left="144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8A2AB0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Short-Term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8A2AB0" w:rsidRDefault="003F3982" w:rsidP="00950E4C">
            <w:pPr>
              <w:spacing w:before="40" w:after="40"/>
              <w:ind w:left="144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8A2AB0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Intermediate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8A2AB0" w:rsidRDefault="003F3982" w:rsidP="00950E4C">
            <w:pPr>
              <w:spacing w:before="40" w:after="40"/>
              <w:ind w:left="144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8A2AB0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Long-Term</w:t>
            </w:r>
          </w:p>
        </w:tc>
      </w:tr>
      <w:tr w:rsidR="003F3982" w:rsidRPr="005343B9" w:rsidTr="00950E4C">
        <w:tblPrEx>
          <w:tblCellSpacing w:w="0" w:type="dxa"/>
        </w:tblPrEx>
        <w:trPr>
          <w:trHeight w:val="3189"/>
          <w:tblCellSpacing w:w="0" w:type="dxa"/>
        </w:trPr>
        <w:tc>
          <w:tcPr>
            <w:tcW w:w="6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 xml:space="preserve">High perceived ease of access to alcohol from commercial sources among 9th–12th-graders in the cluster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Responsible beverage service training</w:t>
            </w:r>
          </w:p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All alcohol retail establishments in the cluster (both on- and off-premise)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Number of establishments targeted</w:t>
            </w:r>
          </w:p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b/>
                <w:bCs/>
                <w:sz w:val="20"/>
                <w:szCs w:val="20"/>
                <w:lang w:bidi="en-US"/>
              </w:rPr>
            </w:pPr>
          </w:p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b/>
                <w:bCs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Number of establishments trained</w:t>
            </w:r>
          </w:p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Number of individuals trained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Increase in awareness, knowledge, attitudes, and responsible serving/selling practices among those trained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Decrease in perceived ease of access to alcohol from commercia</w:t>
            </w:r>
            <w:r>
              <w:rPr>
                <w:rFonts w:ascii="Arial Narrow" w:hAnsi="Arial Narrow"/>
                <w:sz w:val="20"/>
                <w:szCs w:val="20"/>
                <w:lang w:bidi="en-US"/>
              </w:rPr>
              <w:t>l sources among 9th–</w:t>
            </w: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12th</w:t>
            </w:r>
            <w:r>
              <w:rPr>
                <w:rFonts w:ascii="Arial Narrow" w:hAnsi="Arial Narrow"/>
                <w:sz w:val="20"/>
                <w:szCs w:val="20"/>
                <w:lang w:bidi="en-US"/>
              </w:rPr>
              <w:t>-</w:t>
            </w: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 xml:space="preserve">graders in the cluster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Decrease in the % of 9th–12th grade students in the cluster who report past-30-day use of alcohol</w:t>
            </w:r>
          </w:p>
        </w:tc>
      </w:tr>
    </w:tbl>
    <w:p w:rsidR="003F3982" w:rsidRDefault="003F3982" w:rsidP="003F3982">
      <w:pPr>
        <w:pStyle w:val="Head2"/>
        <w:rPr>
          <w:lang w:bidi="en-US"/>
        </w:rPr>
      </w:pPr>
      <w:bookmarkStart w:id="3" w:name="_Toc297913142"/>
      <w:r w:rsidRPr="005343B9">
        <w:rPr>
          <w:lang w:bidi="en-US"/>
        </w:rPr>
        <w:t>Developing Your Logic Model</w:t>
      </w:r>
      <w:bookmarkEnd w:id="1"/>
      <w:bookmarkEnd w:id="3"/>
      <w:r w:rsidRPr="005343B9">
        <w:rPr>
          <w:lang w:bidi="en-US"/>
        </w:rPr>
        <w:t xml:space="preserve"> </w:t>
      </w:r>
    </w:p>
    <w:p w:rsidR="003F3982" w:rsidRDefault="003F3982" w:rsidP="003F3982">
      <w:pPr>
        <w:pStyle w:val="body"/>
      </w:pPr>
      <w:r w:rsidRPr="00E62475">
        <w:t xml:space="preserve">Your logic model may </w:t>
      </w:r>
      <w:r>
        <w:t>target</w:t>
      </w:r>
      <w:r w:rsidRPr="00E62475">
        <w:t xml:space="preserve"> several </w:t>
      </w:r>
      <w:r w:rsidRPr="005343B9">
        <w:t>intervening variable</w:t>
      </w:r>
      <w:r>
        <w:t>s</w:t>
      </w:r>
      <w:r w:rsidRPr="00E62475">
        <w:t xml:space="preserve"> related to </w:t>
      </w:r>
      <w:r>
        <w:t>substance</w:t>
      </w:r>
      <w:r w:rsidRPr="00E62475">
        <w:t xml:space="preserve"> misuse</w:t>
      </w:r>
      <w:r>
        <w:t xml:space="preserve"> and abuse</w:t>
      </w:r>
      <w:r w:rsidRPr="00E62475">
        <w:t xml:space="preserve"> and its consequences. </w:t>
      </w:r>
      <w:r>
        <w:t>You will also likely choose</w:t>
      </w:r>
      <w:r w:rsidRPr="000C6F58">
        <w:t xml:space="preserve"> multiple strategies to address each intervening variable.</w:t>
      </w:r>
      <w:r>
        <w:t xml:space="preserve"> </w:t>
      </w:r>
      <w:r w:rsidRPr="005343B9">
        <w:t>Complete a logic model sh</w:t>
      </w:r>
      <w:r>
        <w:t>eet for each problem identified, and include</w:t>
      </w:r>
      <w:r w:rsidRPr="00D63809">
        <w:t xml:space="preserve"> </w:t>
      </w:r>
      <w:r w:rsidRPr="005343B9">
        <w:t>additional rows</w:t>
      </w:r>
      <w:r>
        <w:t xml:space="preserve"> for e</w:t>
      </w:r>
      <w:r w:rsidRPr="00E62475">
        <w:t xml:space="preserve">ach </w:t>
      </w:r>
      <w:r w:rsidRPr="005343B9">
        <w:t>intervening variable</w:t>
      </w:r>
      <w:r>
        <w:t xml:space="preserve"> you’ve</w:t>
      </w:r>
      <w:r w:rsidRPr="005343B9">
        <w:t xml:space="preserve"> targeted</w:t>
      </w:r>
      <w:r w:rsidRPr="00E62475">
        <w:t>.</w:t>
      </w:r>
    </w:p>
    <w:p w:rsidR="003F3982" w:rsidRPr="000C6F58" w:rsidRDefault="003F3982" w:rsidP="003F3982">
      <w:pPr>
        <w:pStyle w:val="Heading3"/>
        <w:keepNext w:val="0"/>
        <w:keepLines w:val="0"/>
        <w:rPr>
          <w:lang w:bidi="en-US"/>
        </w:rPr>
      </w:pPr>
      <w:bookmarkStart w:id="4" w:name="_Toc297913143"/>
      <w:r w:rsidRPr="000C6F58">
        <w:rPr>
          <w:lang w:bidi="en-US"/>
        </w:rPr>
        <w:t>Part 1: Problem Identified by BSAS</w:t>
      </w:r>
      <w:bookmarkEnd w:id="4"/>
    </w:p>
    <w:p w:rsidR="003F3982" w:rsidRPr="000C6F58" w:rsidRDefault="003F3982" w:rsidP="003F3982">
      <w:pPr>
        <w:pStyle w:val="body"/>
      </w:pPr>
      <w:r w:rsidRPr="000C6F58">
        <w:t xml:space="preserve">This is taken from the RFR </w:t>
      </w:r>
      <w:r>
        <w:t xml:space="preserve">(Request for Response) </w:t>
      </w:r>
      <w:r w:rsidRPr="000C6F58">
        <w:t xml:space="preserve">for each BSAS initiative. It describes why BSAS has made these grant dollars available. </w:t>
      </w:r>
    </w:p>
    <w:p w:rsidR="003F3982" w:rsidRDefault="003F3982" w:rsidP="003F3982">
      <w:pPr>
        <w:pStyle w:val="body"/>
      </w:pPr>
    </w:p>
    <w:p w:rsidR="003F3982" w:rsidRDefault="003F3982" w:rsidP="003F3982">
      <w:pPr>
        <w:pStyle w:val="body"/>
        <w:ind w:left="360"/>
      </w:pPr>
      <w:r>
        <w:t>Example:</w:t>
      </w:r>
    </w:p>
    <w:tbl>
      <w:tblPr>
        <w:tblW w:w="4789" w:type="pct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3F3982" w:rsidRPr="005343B9" w:rsidTr="00950E4C">
        <w:trPr>
          <w:trHeight w:val="4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F3982" w:rsidRPr="009C235D" w:rsidRDefault="003F3982" w:rsidP="00950E4C">
            <w:pPr>
              <w:autoSpaceDE w:val="0"/>
              <w:autoSpaceDN w:val="0"/>
              <w:adjustRightInd w:val="0"/>
              <w:spacing w:line="272" w:lineRule="exact"/>
              <w:ind w:left="90" w:right="-20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</w:pPr>
            <w:r w:rsidRPr="009C235D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  <w:t xml:space="preserve">Problem identified by BSAS: 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>Underage drinking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5" w:name="_Toc297913144"/>
      <w:r w:rsidRPr="000C6F58">
        <w:rPr>
          <w:lang w:bidi="en-US"/>
        </w:rPr>
        <w:t>Part 2: Local Manifestation of the Problem</w:t>
      </w:r>
      <w:bookmarkEnd w:id="5"/>
    </w:p>
    <w:p w:rsidR="003F3982" w:rsidRPr="000C6F58" w:rsidRDefault="003F3982" w:rsidP="003F3982">
      <w:pPr>
        <w:pStyle w:val="body"/>
      </w:pPr>
      <w:r w:rsidRPr="000C6F58">
        <w:t xml:space="preserve">In this section, define the extent of the problem in the </w:t>
      </w:r>
      <w:r>
        <w:t>cluster</w:t>
      </w:r>
      <w:r w:rsidRPr="000C6F58">
        <w:t xml:space="preserve"> (</w:t>
      </w:r>
      <w:r>
        <w:t xml:space="preserve">your description can be </w:t>
      </w:r>
      <w:r w:rsidRPr="000C6F58">
        <w:t>quantitative or qualitative).</w:t>
      </w:r>
    </w:p>
    <w:p w:rsidR="003F3982" w:rsidRDefault="003F3982" w:rsidP="003F3982">
      <w:pPr>
        <w:pStyle w:val="body"/>
      </w:pPr>
    </w:p>
    <w:p w:rsidR="003F3982" w:rsidRPr="000C6F58" w:rsidRDefault="003F3982" w:rsidP="003F3982">
      <w:pPr>
        <w:pStyle w:val="body"/>
        <w:ind w:left="360"/>
      </w:pPr>
      <w:r>
        <w:lastRenderedPageBreak/>
        <w:t>Example:</w:t>
      </w:r>
    </w:p>
    <w:tbl>
      <w:tblPr>
        <w:tblW w:w="4422" w:type="pc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9"/>
      </w:tblGrid>
      <w:tr w:rsidR="003F3982" w:rsidRPr="005343B9" w:rsidTr="00950E4C">
        <w:trPr>
          <w:trHeight w:val="685"/>
        </w:trPr>
        <w:tc>
          <w:tcPr>
            <w:tcW w:w="5000" w:type="pct"/>
            <w:shd w:val="clear" w:color="auto" w:fill="C6D9F1"/>
            <w:vAlign w:val="center"/>
            <w:hideMark/>
          </w:tcPr>
          <w:p w:rsidR="003F3982" w:rsidRPr="009C235D" w:rsidRDefault="003F3982" w:rsidP="00950E4C">
            <w:pPr>
              <w:autoSpaceDE w:val="0"/>
              <w:autoSpaceDN w:val="0"/>
              <w:adjustRightInd w:val="0"/>
              <w:spacing w:line="272" w:lineRule="exact"/>
              <w:ind w:left="90" w:right="-20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</w:pPr>
            <w:r w:rsidRPr="009C235D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bidi="en-US"/>
              </w:rPr>
              <w:t>Local manifestation of the problem:</w:t>
            </w:r>
            <w:r w:rsidRPr="00615D78">
              <w:rPr>
                <w:rFonts w:ascii="Arial Narrow" w:eastAsia="Times New Roman" w:hAnsi="Arial Narrow" w:cs="Times New Roman"/>
                <w:bCs/>
                <w:sz w:val="20"/>
                <w:szCs w:val="24"/>
                <w:lang w:bidi="en-US"/>
              </w:rPr>
              <w:t xml:space="preserve"> In 2014, past-30-day use of alcohol among high school students in the cluster was higher than the state average of 36% (Smithtown: 42%; Jackson: 38%; Redmond: 39%)</w:t>
            </w:r>
          </w:p>
        </w:tc>
      </w:tr>
    </w:tbl>
    <w:p w:rsidR="003F3982" w:rsidRPr="00897C7D" w:rsidRDefault="003F3982" w:rsidP="003F3982">
      <w:pPr>
        <w:pStyle w:val="Note"/>
        <w:ind w:left="720"/>
        <w:rPr>
          <w:lang w:bidi="en-US"/>
        </w:rPr>
      </w:pPr>
      <w:r w:rsidRPr="00897C7D">
        <w:rPr>
          <w:b/>
          <w:lang w:bidi="en-US"/>
        </w:rPr>
        <w:t xml:space="preserve">Note: </w:t>
      </w:r>
      <w:r w:rsidRPr="00897C7D">
        <w:rPr>
          <w:lang w:bidi="en-US"/>
        </w:rPr>
        <w:t xml:space="preserve">A </w:t>
      </w:r>
      <w:r w:rsidRPr="00897C7D">
        <w:rPr>
          <w:i/>
          <w:lang w:bidi="en-US"/>
        </w:rPr>
        <w:t>cluster</w:t>
      </w:r>
      <w:r w:rsidRPr="00897C7D">
        <w:rPr>
          <w:lang w:bidi="en-US"/>
        </w:rPr>
        <w:t>—the organizing structure for SAPC grantees—is a group of towns or municipalities that are banding together to implement a program or grant.</w:t>
      </w:r>
    </w:p>
    <w:p w:rsidR="003F3982" w:rsidRPr="000C6F58" w:rsidRDefault="003F3982" w:rsidP="003F3982">
      <w:pPr>
        <w:pStyle w:val="Heading3"/>
        <w:rPr>
          <w:lang w:bidi="en-US"/>
        </w:rPr>
      </w:pPr>
      <w:bookmarkStart w:id="6" w:name="_Toc297913145"/>
      <w:r w:rsidRPr="000C6F58">
        <w:rPr>
          <w:lang w:bidi="en-US"/>
        </w:rPr>
        <w:t>Part 3: Intervening Variable</w:t>
      </w:r>
      <w:bookmarkEnd w:id="6"/>
    </w:p>
    <w:p w:rsidR="003F3982" w:rsidRPr="000C6F58" w:rsidRDefault="003F3982" w:rsidP="003F3982">
      <w:pPr>
        <w:pStyle w:val="body"/>
      </w:pPr>
      <w:r w:rsidRPr="000C6F58">
        <w:t xml:space="preserve">These are the biological, social, environmental, and economic factors that research has shown to be related to substance use and consequences of use. This category </w:t>
      </w:r>
      <w:r>
        <w:t>includ</w:t>
      </w:r>
      <w:r w:rsidRPr="000C6F58">
        <w:t>es but is not limited to risk and protective factors.</w:t>
      </w:r>
    </w:p>
    <w:p w:rsidR="003F3982" w:rsidRDefault="003F3982" w:rsidP="003F3982">
      <w:pPr>
        <w:pStyle w:val="body"/>
      </w:pPr>
    </w:p>
    <w:p w:rsidR="003F3982" w:rsidRPr="000C6F58" w:rsidRDefault="003F3982" w:rsidP="003F3982">
      <w:pPr>
        <w:pStyle w:val="body"/>
        <w:ind w:left="360"/>
      </w:pPr>
      <w:r>
        <w:t>Example:</w:t>
      </w:r>
    </w:p>
    <w:tbl>
      <w:tblPr>
        <w:tblW w:w="4412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Intervening Variable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462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5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 xml:space="preserve">High perceived ease of access to alcohol from commercial sources among 9th–12th-graders in the cluster 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7" w:name="_Toc297913146"/>
      <w:r w:rsidRPr="000C6F58">
        <w:rPr>
          <w:lang w:bidi="en-US"/>
        </w:rPr>
        <w:t>Part 4: Strategy (or Intervention)</w:t>
      </w:r>
      <w:bookmarkEnd w:id="7"/>
    </w:p>
    <w:p w:rsidR="003F3982" w:rsidRPr="000C6F58" w:rsidRDefault="003F3982" w:rsidP="003F3982">
      <w:pPr>
        <w:pStyle w:val="body"/>
      </w:pPr>
      <w:r w:rsidRPr="000C6F58">
        <w:t xml:space="preserve">These are the programs, policies, and/or practices to reduce use and/or consequences of use. </w:t>
      </w:r>
      <w:r>
        <w:t>They are e</w:t>
      </w:r>
      <w:r w:rsidRPr="000C6F58">
        <w:t xml:space="preserve">xpected to affect </w:t>
      </w:r>
      <w:r>
        <w:t xml:space="preserve">the </w:t>
      </w:r>
      <w:r w:rsidRPr="000C6F58">
        <w:t>intervening variable</w:t>
      </w:r>
      <w:r>
        <w:t>(s)</w:t>
      </w:r>
      <w:r w:rsidRPr="000C6F58">
        <w:t xml:space="preserve">, which </w:t>
      </w:r>
      <w:r>
        <w:t xml:space="preserve">will then </w:t>
      </w:r>
      <w:r w:rsidRPr="000C6F58">
        <w:t>affect outcomes. It is likely that</w:t>
      </w:r>
      <w:r>
        <w:t xml:space="preserve"> you will use</w:t>
      </w:r>
      <w:r w:rsidRPr="000C6F58">
        <w:t xml:space="preserve"> multiple strategies to address each intervening variable.</w:t>
      </w:r>
    </w:p>
    <w:p w:rsidR="003F3982" w:rsidRDefault="003F3982" w:rsidP="003F3982">
      <w:pPr>
        <w:pStyle w:val="body"/>
        <w:ind w:left="360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12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Strategy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399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Responsible beverage service training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8" w:name="_Toc297913147"/>
      <w:r w:rsidRPr="000C6F58">
        <w:rPr>
          <w:lang w:bidi="en-US"/>
        </w:rPr>
        <w:t>Part 5: Target Group</w:t>
      </w:r>
      <w:bookmarkEnd w:id="8"/>
    </w:p>
    <w:p w:rsidR="003F3982" w:rsidRPr="000C6F58" w:rsidRDefault="003F3982" w:rsidP="003F3982">
      <w:pPr>
        <w:pStyle w:val="body"/>
      </w:pPr>
      <w:r w:rsidRPr="000C6F58">
        <w:t xml:space="preserve">This refers to the immediate audience for </w:t>
      </w:r>
      <w:r w:rsidRPr="00862036">
        <w:rPr>
          <w:iCs/>
        </w:rPr>
        <w:t>each</w:t>
      </w:r>
      <w:r w:rsidRPr="000C6F58">
        <w:t xml:space="preserve"> strategy. Please also specify whether this group is specific to the entire area/cluster or </w:t>
      </w:r>
      <w:r>
        <w:t xml:space="preserve">to </w:t>
      </w:r>
      <w:r w:rsidRPr="000C6F58">
        <w:t>specific communities.</w:t>
      </w:r>
    </w:p>
    <w:p w:rsidR="003F3982" w:rsidRDefault="003F3982" w:rsidP="003F3982">
      <w:pPr>
        <w:pStyle w:val="body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12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Target Group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399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615D78" w:rsidRDefault="003F3982" w:rsidP="00950E4C">
            <w:pPr>
              <w:ind w:left="75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All alcohol retail establishments in the cluster (both on- and off-premise)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9" w:name="_Toc297913148"/>
      <w:r w:rsidRPr="000C6F58">
        <w:rPr>
          <w:lang w:bidi="en-US"/>
        </w:rPr>
        <w:t>Part 6: Outputs</w:t>
      </w:r>
      <w:bookmarkEnd w:id="9"/>
    </w:p>
    <w:p w:rsidR="003F3982" w:rsidRPr="000C6F58" w:rsidRDefault="003F3982" w:rsidP="003F3982">
      <w:pPr>
        <w:pStyle w:val="body"/>
      </w:pPr>
      <w:r w:rsidRPr="000C6F58">
        <w:t xml:space="preserve">This measures the extent to which </w:t>
      </w:r>
      <w:r>
        <w:t xml:space="preserve">your chosen </w:t>
      </w:r>
      <w:r w:rsidRPr="00862036">
        <w:t>strategies</w:t>
      </w:r>
      <w:r w:rsidRPr="000C6F58">
        <w:t xml:space="preserve"> are being implemented as planned (e.g., head counts of individuals participating in a program, estimated views of a prevention billboard). </w:t>
      </w:r>
    </w:p>
    <w:p w:rsidR="003F3982" w:rsidRDefault="003F3982" w:rsidP="003F3982">
      <w:pPr>
        <w:pStyle w:val="body"/>
        <w:ind w:left="360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12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Outputs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939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82" w:rsidRPr="00A4620F" w:rsidRDefault="003F3982" w:rsidP="003F3982">
            <w:pPr>
              <w:pStyle w:val="ListParagraph"/>
              <w:numPr>
                <w:ilvl w:val="0"/>
                <w:numId w:val="2"/>
              </w:numPr>
              <w:spacing w:after="40"/>
              <w:ind w:left="288" w:hanging="216"/>
              <w:contextualSpacing w:val="0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A4620F">
              <w:rPr>
                <w:rFonts w:ascii="Arial Narrow" w:hAnsi="Arial Narrow"/>
                <w:sz w:val="20"/>
                <w:szCs w:val="20"/>
                <w:lang w:bidi="en-US"/>
              </w:rPr>
              <w:lastRenderedPageBreak/>
              <w:t>Number of establishments targeted</w:t>
            </w:r>
          </w:p>
          <w:p w:rsidR="003F3982" w:rsidRPr="00A4620F" w:rsidRDefault="003F3982" w:rsidP="003F3982">
            <w:pPr>
              <w:pStyle w:val="ListParagraph"/>
              <w:numPr>
                <w:ilvl w:val="0"/>
                <w:numId w:val="2"/>
              </w:numPr>
              <w:spacing w:after="40"/>
              <w:ind w:left="288" w:hanging="21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  <w:lang w:bidi="en-US"/>
              </w:rPr>
            </w:pPr>
            <w:r w:rsidRPr="00A4620F">
              <w:rPr>
                <w:rFonts w:ascii="Arial Narrow" w:hAnsi="Arial Narrow"/>
                <w:sz w:val="20"/>
                <w:szCs w:val="20"/>
                <w:lang w:bidi="en-US"/>
              </w:rPr>
              <w:t>Number of establishments trained</w:t>
            </w:r>
          </w:p>
          <w:p w:rsidR="003F3982" w:rsidRPr="00A4620F" w:rsidRDefault="003F3982" w:rsidP="003F3982">
            <w:pPr>
              <w:pStyle w:val="ListParagraph"/>
              <w:numPr>
                <w:ilvl w:val="0"/>
                <w:numId w:val="2"/>
              </w:numPr>
              <w:spacing w:after="40"/>
              <w:ind w:left="288" w:hanging="216"/>
              <w:contextualSpacing w:val="0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A4620F">
              <w:rPr>
                <w:rFonts w:ascii="Arial Narrow" w:hAnsi="Arial Narrow"/>
                <w:sz w:val="20"/>
                <w:szCs w:val="20"/>
                <w:lang w:bidi="en-US"/>
              </w:rPr>
              <w:t>Number of individuals trained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10" w:name="_Toc297913149"/>
      <w:r w:rsidRPr="000C6F58">
        <w:rPr>
          <w:lang w:bidi="en-US"/>
        </w:rPr>
        <w:t>Part 7: Short-Term Outcomes</w:t>
      </w:r>
      <w:bookmarkEnd w:id="10"/>
    </w:p>
    <w:p w:rsidR="003F3982" w:rsidRPr="000C6F58" w:rsidRDefault="003F3982" w:rsidP="003F3982">
      <w:pPr>
        <w:pStyle w:val="body"/>
      </w:pPr>
      <w:r w:rsidRPr="000C6F58">
        <w:t xml:space="preserve">These are the immediate effects of a program; they often focus on the knowledge, attitudes, and skills gained by a target audience. </w:t>
      </w:r>
    </w:p>
    <w:p w:rsidR="003F3982" w:rsidRDefault="003F3982" w:rsidP="003F3982">
      <w:pPr>
        <w:pStyle w:val="body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12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Short-Term Outcomes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8A2AB0" w:rsidTr="00950E4C">
        <w:trPr>
          <w:trHeight w:val="453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2" w:rsidRPr="008A2AB0" w:rsidRDefault="003F3982" w:rsidP="00950E4C">
            <w:pPr>
              <w:spacing w:before="40" w:after="40"/>
              <w:ind w:left="144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Increase in awareness, knowledge, attitudes, and responsible serving/selling practices among those trained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11" w:name="_Toc297913150"/>
      <w:r w:rsidRPr="000C6F58">
        <w:rPr>
          <w:lang w:bidi="en-US"/>
        </w:rPr>
        <w:t>Part 8: Intermediate Outcomes</w:t>
      </w:r>
      <w:bookmarkEnd w:id="11"/>
    </w:p>
    <w:p w:rsidR="003F3982" w:rsidRPr="000C6F58" w:rsidRDefault="003F3982" w:rsidP="003F3982">
      <w:pPr>
        <w:pStyle w:val="body"/>
      </w:pPr>
      <w:r w:rsidRPr="000C6F58">
        <w:t xml:space="preserve">These are the changes in behaviors, norms, and/or policies, often expressed as changes in the intervening variable. </w:t>
      </w:r>
    </w:p>
    <w:p w:rsidR="003F3982" w:rsidRDefault="003F3982" w:rsidP="003F3982">
      <w:pPr>
        <w:pStyle w:val="body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08" w:type="pct"/>
        <w:tblCellSpacing w:w="0" w:type="dxa"/>
        <w:tblInd w:w="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Intermediate Outcomes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58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Decrease in perceived ease of access to alcohol from commercia</w:t>
            </w:r>
            <w:r>
              <w:rPr>
                <w:rFonts w:ascii="Arial Narrow" w:hAnsi="Arial Narrow"/>
                <w:sz w:val="20"/>
                <w:szCs w:val="20"/>
                <w:lang w:bidi="en-US"/>
              </w:rPr>
              <w:t>l sources among 9th–</w:t>
            </w: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12th</w:t>
            </w:r>
            <w:r>
              <w:rPr>
                <w:rFonts w:ascii="Arial Narrow" w:hAnsi="Arial Narrow"/>
                <w:sz w:val="20"/>
                <w:szCs w:val="20"/>
                <w:lang w:bidi="en-US"/>
              </w:rPr>
              <w:t>-</w:t>
            </w: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 xml:space="preserve">graders in the cluster 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12" w:name="_Toc297913151"/>
      <w:r w:rsidRPr="000C6F58">
        <w:rPr>
          <w:lang w:bidi="en-US"/>
        </w:rPr>
        <w:t>Part 9: Long-Term Outcomes</w:t>
      </w:r>
      <w:bookmarkEnd w:id="12"/>
    </w:p>
    <w:p w:rsidR="003F3982" w:rsidRPr="000C6F58" w:rsidRDefault="003F3982" w:rsidP="003F3982">
      <w:pPr>
        <w:pStyle w:val="body"/>
      </w:pPr>
      <w:r w:rsidRPr="000C6F58">
        <w:t>These are the ultimate goals of the program, which often take time to achieve.</w:t>
      </w:r>
    </w:p>
    <w:p w:rsidR="003F3982" w:rsidRDefault="003F3982" w:rsidP="003F3982">
      <w:pPr>
        <w:pStyle w:val="body"/>
        <w:ind w:left="360"/>
      </w:pPr>
    </w:p>
    <w:p w:rsidR="003F3982" w:rsidRPr="000C6F58" w:rsidRDefault="003F3982" w:rsidP="003F3982">
      <w:pPr>
        <w:pStyle w:val="body"/>
        <w:ind w:left="360"/>
      </w:pPr>
      <w:r>
        <w:t>Example:</w:t>
      </w:r>
      <w:r w:rsidRPr="000C6F58">
        <w:t xml:space="preserve"> </w:t>
      </w:r>
    </w:p>
    <w:tbl>
      <w:tblPr>
        <w:tblW w:w="4411" w:type="pct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3"/>
      </w:tblGrid>
      <w:tr w:rsidR="003F3982" w:rsidRPr="00615D78" w:rsidTr="00950E4C">
        <w:trPr>
          <w:trHeight w:val="247"/>
          <w:tblCellSpacing w:w="0" w:type="dxa"/>
        </w:trPr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615D78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  <w:t>Long-Term Outcomes</w:t>
            </w:r>
          </w:p>
        </w:tc>
      </w:tr>
      <w:tr w:rsidR="003F3982" w:rsidRPr="00DE5396" w:rsidTr="00950E4C">
        <w:trPr>
          <w:trHeight w:val="309"/>
          <w:tblCellSpacing w:w="0" w:type="dxa"/>
        </w:trPr>
        <w:tc>
          <w:tcPr>
            <w:tcW w:w="5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BFF"/>
            <w:vAlign w:val="center"/>
            <w:hideMark/>
          </w:tcPr>
          <w:p w:rsidR="003F3982" w:rsidRPr="00DE5396" w:rsidRDefault="003F3982" w:rsidP="00950E4C">
            <w:pPr>
              <w:spacing w:before="40" w:after="40"/>
              <w:ind w:left="75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3F3982" w:rsidRPr="00615D78" w:rsidTr="00950E4C">
        <w:trPr>
          <w:trHeight w:val="49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82" w:rsidRPr="00615D78" w:rsidRDefault="003F3982" w:rsidP="00950E4C">
            <w:pPr>
              <w:ind w:left="72" w:right="72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15D78">
              <w:rPr>
                <w:rFonts w:ascii="Arial Narrow" w:hAnsi="Arial Narrow"/>
                <w:sz w:val="20"/>
                <w:szCs w:val="20"/>
                <w:lang w:bidi="en-US"/>
              </w:rPr>
              <w:t>Decrease in the % of 9th–12th grade students in the cluster who report past-30-day use of alcohol</w:t>
            </w:r>
          </w:p>
        </w:tc>
      </w:tr>
    </w:tbl>
    <w:p w:rsidR="003F3982" w:rsidRPr="000C6F58" w:rsidRDefault="003F3982" w:rsidP="003F3982">
      <w:pPr>
        <w:pStyle w:val="Heading3"/>
        <w:rPr>
          <w:lang w:bidi="en-US"/>
        </w:rPr>
      </w:pPr>
      <w:bookmarkStart w:id="13" w:name="_Toc297913152"/>
      <w:r w:rsidRPr="000C6F58">
        <w:rPr>
          <w:lang w:bidi="en-US"/>
        </w:rPr>
        <w:t>Additional Notes</w:t>
      </w:r>
      <w:bookmarkEnd w:id="13"/>
    </w:p>
    <w:p w:rsidR="003F3982" w:rsidRPr="000C6F58" w:rsidRDefault="003F3982" w:rsidP="003F3982">
      <w:pPr>
        <w:pStyle w:val="bullets"/>
      </w:pPr>
      <w:r>
        <w:t>Your</w:t>
      </w:r>
      <w:r w:rsidRPr="000C6F58">
        <w:t xml:space="preserve"> </w:t>
      </w:r>
      <w:r>
        <w:t>l</w:t>
      </w:r>
      <w:r w:rsidRPr="000C6F58">
        <w:t xml:space="preserve">ogic </w:t>
      </w:r>
      <w:r>
        <w:t>m</w:t>
      </w:r>
      <w:r w:rsidRPr="000C6F58">
        <w:t xml:space="preserve">odel should cover the period from </w:t>
      </w:r>
      <w:r w:rsidRPr="000C6F58">
        <w:rPr>
          <w:b/>
        </w:rPr>
        <w:t>July 1, 201</w:t>
      </w:r>
      <w:r>
        <w:rPr>
          <w:b/>
        </w:rPr>
        <w:t>6</w:t>
      </w:r>
      <w:r w:rsidRPr="000C6F58">
        <w:t>, to</w:t>
      </w:r>
      <w:r w:rsidRPr="000C6F58">
        <w:rPr>
          <w:b/>
        </w:rPr>
        <w:t xml:space="preserve"> June 30, 201</w:t>
      </w:r>
      <w:r>
        <w:rPr>
          <w:b/>
        </w:rPr>
        <w:t>7</w:t>
      </w:r>
      <w:r w:rsidRPr="000C6F58">
        <w:t xml:space="preserve"> (</w:t>
      </w:r>
      <w:r>
        <w:t xml:space="preserve">the first full year of </w:t>
      </w:r>
      <w:r w:rsidRPr="00E063AB">
        <w:rPr>
          <w:i/>
        </w:rPr>
        <w:t>strategy implementation</w:t>
      </w:r>
      <w:r>
        <w:t xml:space="preserve"> of the SAPC grant following the strategic planning year</w:t>
      </w:r>
      <w:r w:rsidRPr="000C6F58">
        <w:t xml:space="preserve">). </w:t>
      </w:r>
    </w:p>
    <w:p w:rsidR="003F3982" w:rsidRPr="000C6F58" w:rsidRDefault="003F3982" w:rsidP="003F3982">
      <w:pPr>
        <w:pStyle w:val="bullets"/>
        <w:rPr>
          <w:b/>
        </w:rPr>
      </w:pPr>
      <w:r w:rsidRPr="000C6F58">
        <w:t xml:space="preserve">You </w:t>
      </w:r>
      <w:r>
        <w:t>are</w:t>
      </w:r>
      <w:r w:rsidRPr="000C6F58">
        <w:t xml:space="preserve"> </w:t>
      </w:r>
      <w:r w:rsidRPr="00154D5B">
        <w:rPr>
          <w:i/>
        </w:rPr>
        <w:t>required</w:t>
      </w:r>
      <w:r w:rsidRPr="000C6F58">
        <w:t xml:space="preserve"> to update your </w:t>
      </w:r>
      <w:r>
        <w:t>l</w:t>
      </w:r>
      <w:r w:rsidRPr="000C6F58">
        <w:t xml:space="preserve">ogic </w:t>
      </w:r>
      <w:r>
        <w:t>m</w:t>
      </w:r>
      <w:r w:rsidRPr="000C6F58">
        <w:t xml:space="preserve">odel </w:t>
      </w:r>
      <w:r w:rsidRPr="00154D5B">
        <w:rPr>
          <w:i/>
        </w:rPr>
        <w:t>annually</w:t>
      </w:r>
      <w:r w:rsidRPr="00154D5B">
        <w:t>.</w:t>
      </w:r>
    </w:p>
    <w:p w:rsidR="00CB7CAB" w:rsidRDefault="00CB7CAB">
      <w:bookmarkStart w:id="14" w:name="_GoBack"/>
      <w:bookmarkEnd w:id="14"/>
    </w:p>
    <w:sectPr w:rsidR="00CB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89E"/>
    <w:multiLevelType w:val="hybridMultilevel"/>
    <w:tmpl w:val="878A2474"/>
    <w:lvl w:ilvl="0" w:tplc="E81AE2FA">
      <w:numFmt w:val="bullet"/>
      <w:pStyle w:val="bullets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079"/>
    <w:multiLevelType w:val="hybridMultilevel"/>
    <w:tmpl w:val="570A99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82"/>
    <w:rsid w:val="003F3982"/>
    <w:rsid w:val="00C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1631-6141-458C-BFEF-53BB8EE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82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982"/>
    <w:pPr>
      <w:keepNext/>
      <w:keepLines/>
      <w:spacing w:before="140" w:after="140"/>
      <w:outlineLvl w:val="2"/>
    </w:pPr>
    <w:rPr>
      <w:rFonts w:eastAsiaTheme="majorEastAsia" w:cstheme="majorBidi"/>
      <w:b/>
      <w:bCs/>
      <w:i/>
      <w:color w:val="5B9BD5" w:themeColor="accent1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982"/>
    <w:rPr>
      <w:rFonts w:eastAsiaTheme="majorEastAsia" w:cstheme="majorBidi"/>
      <w:b/>
      <w:bCs/>
      <w:i/>
      <w:color w:val="5B9BD5" w:themeColor="accent1"/>
      <w:sz w:val="25"/>
    </w:rPr>
  </w:style>
  <w:style w:type="paragraph" w:styleId="ListParagraph">
    <w:name w:val="List Paragraph"/>
    <w:basedOn w:val="Normal"/>
    <w:uiPriority w:val="34"/>
    <w:qFormat/>
    <w:rsid w:val="003F3982"/>
    <w:pPr>
      <w:ind w:left="720"/>
      <w:contextualSpacing/>
    </w:pPr>
  </w:style>
  <w:style w:type="paragraph" w:customStyle="1" w:styleId="Head1">
    <w:name w:val="Head 1"/>
    <w:basedOn w:val="Normal"/>
    <w:qFormat/>
    <w:rsid w:val="003F3982"/>
    <w:pPr>
      <w:spacing w:after="180"/>
    </w:pPr>
    <w:rPr>
      <w:b/>
      <w:bCs/>
      <w:smallCaps/>
      <w:sz w:val="32"/>
      <w:szCs w:val="24"/>
    </w:rPr>
  </w:style>
  <w:style w:type="paragraph" w:customStyle="1" w:styleId="Head2">
    <w:name w:val="Head 2"/>
    <w:basedOn w:val="Normal"/>
    <w:qFormat/>
    <w:rsid w:val="003F3982"/>
    <w:pPr>
      <w:spacing w:before="220" w:after="180"/>
    </w:pPr>
    <w:rPr>
      <w:rFonts w:ascii="Arial Narrow" w:hAnsi="Arial Narrow"/>
      <w:b/>
      <w:bCs/>
      <w:sz w:val="26"/>
    </w:rPr>
  </w:style>
  <w:style w:type="paragraph" w:customStyle="1" w:styleId="bullets">
    <w:name w:val="bullets"/>
    <w:basedOn w:val="ListParagraph"/>
    <w:qFormat/>
    <w:rsid w:val="003F3982"/>
    <w:pPr>
      <w:numPr>
        <w:numId w:val="1"/>
      </w:numPr>
      <w:spacing w:after="60"/>
      <w:ind w:left="720"/>
      <w:contextualSpacing w:val="0"/>
    </w:pPr>
  </w:style>
  <w:style w:type="paragraph" w:customStyle="1" w:styleId="Note">
    <w:name w:val="Note"/>
    <w:basedOn w:val="Normal"/>
    <w:qFormat/>
    <w:rsid w:val="003F3982"/>
    <w:pPr>
      <w:spacing w:before="100" w:after="100"/>
      <w:ind w:left="360"/>
    </w:pPr>
  </w:style>
  <w:style w:type="paragraph" w:customStyle="1" w:styleId="body">
    <w:name w:val="body"/>
    <w:basedOn w:val="Normal"/>
    <w:rsid w:val="003F3982"/>
    <w:rPr>
      <w:rFonts w:ascii="Calibri" w:eastAsia="Times New Roman" w:hAnsi="Calibri" w:cs="Times New Roman"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2015-08-20T20:09:00Z</dcterms:created>
  <dcterms:modified xsi:type="dcterms:W3CDTF">2015-08-20T20:09:00Z</dcterms:modified>
</cp:coreProperties>
</file>