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9C" w:rsidRPr="0035509C" w:rsidRDefault="0035509C" w:rsidP="0035509C">
      <w:pPr>
        <w:pBdr>
          <w:top w:val="single" w:sz="12" w:space="1" w:color="auto"/>
        </w:pBdr>
        <w:spacing w:after="180" w:line="240" w:lineRule="auto"/>
        <w:rPr>
          <w:rFonts w:ascii="Cambria" w:eastAsia="Calibri" w:hAnsi="Cambria" w:cs="Times New Roman"/>
          <w:b/>
          <w:bCs/>
          <w:caps/>
          <w:sz w:val="40"/>
          <w:szCs w:val="24"/>
          <w:lang w:bidi="en-US"/>
        </w:rPr>
      </w:pPr>
      <w:bookmarkStart w:id="0" w:name="_Toc446514026"/>
      <w:bookmarkStart w:id="1" w:name="_GoBack"/>
      <w:r w:rsidRPr="0035509C">
        <w:rPr>
          <w:rFonts w:ascii="Cambria" w:eastAsia="Calibri" w:hAnsi="Cambria" w:cs="Times New Roman"/>
          <w:b/>
          <w:bCs/>
          <w:caps/>
          <w:sz w:val="40"/>
          <w:szCs w:val="24"/>
        </w:rPr>
        <w:t>Risk and Protective Factor Data Organizer</w:t>
      </w:r>
      <w:bookmarkEnd w:id="0"/>
      <w:bookmarkEnd w:id="1"/>
    </w:p>
    <w:p w:rsidR="0035509C" w:rsidRPr="0035509C" w:rsidRDefault="0035509C" w:rsidP="0035509C">
      <w:pPr>
        <w:spacing w:line="240" w:lineRule="auto"/>
        <w:rPr>
          <w:rFonts w:ascii="Calibri" w:eastAsia="Times New Roman" w:hAnsi="Calibri" w:cs="Times New Roman"/>
          <w:bCs/>
          <w:sz w:val="24"/>
          <w:lang w:bidi="en-US"/>
        </w:rPr>
      </w:pPr>
      <w:r w:rsidRPr="0035509C">
        <w:rPr>
          <w:rFonts w:ascii="Calibri" w:eastAsia="Times New Roman" w:hAnsi="Calibri" w:cs="Times New Roman"/>
          <w:bCs/>
          <w:sz w:val="24"/>
          <w:lang w:bidi="en-US"/>
        </w:rPr>
        <w:t xml:space="preserve">This tool allows you to organize and compare the data you gather, which can then help you prioritize them. Fill in the table with the risk or protective factors that are relevant in your community. </w:t>
      </w:r>
    </w:p>
    <w:p w:rsidR="0035509C" w:rsidRPr="0035509C" w:rsidRDefault="0035509C" w:rsidP="0035509C">
      <w:pPr>
        <w:spacing w:before="100" w:after="100" w:line="240" w:lineRule="auto"/>
        <w:ind w:left="720"/>
        <w:rPr>
          <w:rFonts w:ascii="Calibri" w:eastAsia="Calibri" w:hAnsi="Calibri" w:cs="Times New Roman"/>
          <w:sz w:val="24"/>
        </w:rPr>
      </w:pPr>
      <w:r w:rsidRPr="0035509C">
        <w:rPr>
          <w:rFonts w:ascii="Calibri" w:eastAsia="Calibri" w:hAnsi="Calibri" w:cs="Times New Roman"/>
          <w:b/>
          <w:sz w:val="24"/>
        </w:rPr>
        <w:t xml:space="preserve">Note: </w:t>
      </w:r>
      <w:r w:rsidRPr="0035509C">
        <w:rPr>
          <w:rFonts w:ascii="Calibri" w:eastAsia="Calibri" w:hAnsi="Calibri" w:cs="Times New Roman"/>
          <w:sz w:val="24"/>
        </w:rPr>
        <w:t xml:space="preserve">This section was adapted from </w:t>
      </w:r>
      <w:r w:rsidRPr="0035509C">
        <w:rPr>
          <w:rFonts w:ascii="Calibri" w:eastAsia="Calibri" w:hAnsi="Calibri" w:cs="Times New Roman"/>
          <w:i/>
          <w:sz w:val="24"/>
        </w:rPr>
        <w:t>Rhode Island Partnership for Success: A Guide to the Community Needs Assessment</w:t>
      </w:r>
      <w:r w:rsidRPr="0035509C">
        <w:rPr>
          <w:rFonts w:ascii="Calibri" w:eastAsia="Calibri" w:hAnsi="Calibri" w:cs="Times New Roman"/>
          <w:sz w:val="24"/>
        </w:rPr>
        <w:t>.</w:t>
      </w:r>
      <w:r w:rsidRPr="0035509C">
        <w:rPr>
          <w:rFonts w:ascii="Calibri" w:eastAsia="Calibri" w:hAnsi="Calibri" w:cs="Times New Roman"/>
          <w:sz w:val="24"/>
          <w:szCs w:val="24"/>
          <w:vertAlign w:val="superscript"/>
        </w:rPr>
        <w:t>61</w:t>
      </w:r>
    </w:p>
    <w:p w:rsidR="0035509C" w:rsidRPr="0035509C" w:rsidRDefault="0035509C" w:rsidP="0035509C">
      <w:pPr>
        <w:spacing w:line="240" w:lineRule="auto"/>
        <w:rPr>
          <w:rFonts w:ascii="Calibri" w:eastAsia="Times New Roman" w:hAnsi="Calibri" w:cs="Times New Roman"/>
          <w:bCs/>
          <w:sz w:val="4"/>
          <w:szCs w:val="4"/>
          <w:lang w:bidi="en-US"/>
        </w:rPr>
      </w:pPr>
    </w:p>
    <w:tbl>
      <w:tblPr>
        <w:tblStyle w:val="TableGrid"/>
        <w:tblW w:w="0" w:type="auto"/>
        <w:jc w:val="center"/>
        <w:tblLayout w:type="fixed"/>
        <w:tblLook w:val="04A0" w:firstRow="1" w:lastRow="0" w:firstColumn="1" w:lastColumn="0" w:noHBand="0" w:noVBand="1"/>
      </w:tblPr>
      <w:tblGrid>
        <w:gridCol w:w="2780"/>
        <w:gridCol w:w="1149"/>
        <w:gridCol w:w="1741"/>
        <w:gridCol w:w="1620"/>
        <w:gridCol w:w="877"/>
        <w:gridCol w:w="1121"/>
      </w:tblGrid>
      <w:tr w:rsidR="0035509C" w:rsidRPr="0035509C" w:rsidTr="005709BE">
        <w:trPr>
          <w:jc w:val="center"/>
        </w:trPr>
        <w:tc>
          <w:tcPr>
            <w:tcW w:w="2780" w:type="dxa"/>
            <w:vMerge w:val="restart"/>
          </w:tcPr>
          <w:p w:rsidR="0035509C" w:rsidRPr="0035509C" w:rsidRDefault="0035509C" w:rsidP="0035509C">
            <w:pPr>
              <w:widowControl w:val="0"/>
              <w:autoSpaceDE w:val="0"/>
              <w:autoSpaceDN w:val="0"/>
              <w:adjustRightInd w:val="0"/>
              <w:spacing w:after="60"/>
              <w:ind w:left="-18"/>
              <w:rPr>
                <w:rFonts w:ascii="Calibri" w:eastAsia="Calibri" w:hAnsi="Calibri" w:cs="Times New Roman"/>
                <w:sz w:val="21"/>
                <w:szCs w:val="21"/>
              </w:rPr>
            </w:pPr>
            <w:r w:rsidRPr="0035509C">
              <w:rPr>
                <w:rFonts w:ascii="Calibri" w:eastAsia="Calibri" w:hAnsi="Calibri" w:cs="Cambria"/>
                <w:b/>
                <w:bCs/>
                <w:sz w:val="21"/>
                <w:szCs w:val="21"/>
              </w:rPr>
              <w:t>Risk or Protective Factor</w:t>
            </w:r>
          </w:p>
        </w:tc>
        <w:tc>
          <w:tcPr>
            <w:tcW w:w="4510" w:type="dxa"/>
            <w:gridSpan w:val="3"/>
          </w:tcPr>
          <w:p w:rsidR="0035509C" w:rsidRPr="0035509C" w:rsidRDefault="0035509C" w:rsidP="0035509C">
            <w:pPr>
              <w:widowControl w:val="0"/>
              <w:autoSpaceDE w:val="0"/>
              <w:autoSpaceDN w:val="0"/>
              <w:adjustRightInd w:val="0"/>
              <w:spacing w:after="60"/>
              <w:jc w:val="center"/>
              <w:rPr>
                <w:rFonts w:ascii="Calibri" w:eastAsia="Calibri" w:hAnsi="Calibri" w:cs="Times New Roman"/>
                <w:sz w:val="21"/>
                <w:szCs w:val="21"/>
              </w:rPr>
            </w:pPr>
            <w:r w:rsidRPr="0035509C">
              <w:rPr>
                <w:rFonts w:ascii="Calibri" w:eastAsia="Calibri" w:hAnsi="Calibri" w:cs="Cambria"/>
                <w:b/>
                <w:bCs/>
                <w:sz w:val="21"/>
                <w:szCs w:val="21"/>
              </w:rPr>
              <w:t xml:space="preserve">Mentioned During Key Stakeholder Surveys </w:t>
            </w:r>
            <w:r w:rsidRPr="0035509C">
              <w:rPr>
                <w:rFonts w:ascii="Calibri" w:eastAsia="Calibri" w:hAnsi="Calibri" w:cs="Cambria"/>
                <w:b/>
                <w:bCs/>
                <w:sz w:val="21"/>
                <w:szCs w:val="21"/>
              </w:rPr>
              <w:br/>
              <w:t>or Focus Groups</w:t>
            </w:r>
          </w:p>
        </w:tc>
        <w:tc>
          <w:tcPr>
            <w:tcW w:w="1998" w:type="dxa"/>
            <w:gridSpan w:val="2"/>
          </w:tcPr>
          <w:p w:rsidR="0035509C" w:rsidRPr="0035509C" w:rsidRDefault="0035509C" w:rsidP="0035509C">
            <w:pPr>
              <w:widowControl w:val="0"/>
              <w:autoSpaceDE w:val="0"/>
              <w:autoSpaceDN w:val="0"/>
              <w:adjustRightInd w:val="0"/>
              <w:spacing w:after="60"/>
              <w:jc w:val="center"/>
              <w:rPr>
                <w:rFonts w:ascii="Calibri" w:eastAsia="Calibri" w:hAnsi="Calibri" w:cs="Times New Roman"/>
                <w:sz w:val="21"/>
                <w:szCs w:val="21"/>
              </w:rPr>
            </w:pPr>
            <w:r w:rsidRPr="0035509C">
              <w:rPr>
                <w:rFonts w:ascii="Calibri" w:eastAsia="Calibri" w:hAnsi="Calibri" w:cs="Cambria"/>
                <w:b/>
                <w:bCs/>
                <w:sz w:val="21"/>
                <w:szCs w:val="21"/>
              </w:rPr>
              <w:t>Supported by Quantitative Data?</w:t>
            </w:r>
          </w:p>
        </w:tc>
      </w:tr>
      <w:tr w:rsidR="0035509C" w:rsidRPr="0035509C" w:rsidTr="005709BE">
        <w:trPr>
          <w:jc w:val="center"/>
        </w:trPr>
        <w:tc>
          <w:tcPr>
            <w:tcW w:w="2780" w:type="dxa"/>
            <w:vMerge/>
          </w:tcPr>
          <w:p w:rsidR="0035509C" w:rsidRPr="0035509C" w:rsidRDefault="0035509C" w:rsidP="0035509C">
            <w:pPr>
              <w:widowControl w:val="0"/>
              <w:autoSpaceDE w:val="0"/>
              <w:autoSpaceDN w:val="0"/>
              <w:adjustRightInd w:val="0"/>
              <w:spacing w:after="60"/>
              <w:ind w:left="-18"/>
              <w:rPr>
                <w:rFonts w:ascii="Calibri" w:eastAsia="Calibri" w:hAnsi="Calibri" w:cs="Times New Roman"/>
                <w:sz w:val="21"/>
                <w:szCs w:val="21"/>
              </w:rPr>
            </w:pPr>
          </w:p>
        </w:tc>
        <w:tc>
          <w:tcPr>
            <w:tcW w:w="1149" w:type="dxa"/>
          </w:tcPr>
          <w:p w:rsidR="0035509C" w:rsidRPr="0035509C" w:rsidRDefault="0035509C" w:rsidP="0035509C">
            <w:pPr>
              <w:widowControl w:val="0"/>
              <w:autoSpaceDE w:val="0"/>
              <w:autoSpaceDN w:val="0"/>
              <w:adjustRightInd w:val="0"/>
              <w:spacing w:after="60"/>
              <w:jc w:val="center"/>
              <w:rPr>
                <w:rFonts w:ascii="Calibri" w:eastAsia="Calibri" w:hAnsi="Calibri" w:cs="Times New Roman"/>
                <w:i/>
                <w:sz w:val="21"/>
                <w:szCs w:val="21"/>
              </w:rPr>
            </w:pPr>
            <w:r w:rsidRPr="0035509C">
              <w:rPr>
                <w:rFonts w:ascii="Calibri" w:eastAsia="Calibri" w:hAnsi="Calibri" w:cs="Cambria"/>
                <w:b/>
                <w:bCs/>
                <w:i/>
                <w:sz w:val="21"/>
                <w:szCs w:val="21"/>
              </w:rPr>
              <w:t>Frequently</w:t>
            </w:r>
          </w:p>
        </w:tc>
        <w:tc>
          <w:tcPr>
            <w:tcW w:w="1741" w:type="dxa"/>
          </w:tcPr>
          <w:p w:rsidR="0035509C" w:rsidRPr="0035509C" w:rsidRDefault="0035509C" w:rsidP="0035509C">
            <w:pPr>
              <w:widowControl w:val="0"/>
              <w:autoSpaceDE w:val="0"/>
              <w:autoSpaceDN w:val="0"/>
              <w:adjustRightInd w:val="0"/>
              <w:spacing w:after="60"/>
              <w:jc w:val="center"/>
              <w:rPr>
                <w:rFonts w:ascii="Calibri" w:eastAsia="Calibri" w:hAnsi="Calibri" w:cs="Times New Roman"/>
                <w:i/>
                <w:sz w:val="21"/>
                <w:szCs w:val="21"/>
              </w:rPr>
            </w:pPr>
            <w:r w:rsidRPr="0035509C">
              <w:rPr>
                <w:rFonts w:ascii="Calibri" w:eastAsia="Calibri" w:hAnsi="Calibri" w:cs="Cambria"/>
                <w:b/>
                <w:bCs/>
                <w:i/>
                <w:sz w:val="21"/>
                <w:szCs w:val="21"/>
              </w:rPr>
              <w:t>Occasionally</w:t>
            </w:r>
          </w:p>
        </w:tc>
        <w:tc>
          <w:tcPr>
            <w:tcW w:w="1620" w:type="dxa"/>
          </w:tcPr>
          <w:p w:rsidR="0035509C" w:rsidRPr="0035509C" w:rsidRDefault="0035509C" w:rsidP="0035509C">
            <w:pPr>
              <w:widowControl w:val="0"/>
              <w:autoSpaceDE w:val="0"/>
              <w:autoSpaceDN w:val="0"/>
              <w:adjustRightInd w:val="0"/>
              <w:spacing w:after="60"/>
              <w:jc w:val="center"/>
              <w:rPr>
                <w:rFonts w:ascii="Calibri" w:eastAsia="Calibri" w:hAnsi="Calibri" w:cs="Times New Roman"/>
                <w:i/>
                <w:sz w:val="21"/>
                <w:szCs w:val="21"/>
              </w:rPr>
            </w:pPr>
            <w:r w:rsidRPr="0035509C">
              <w:rPr>
                <w:rFonts w:ascii="Calibri" w:eastAsia="Calibri" w:hAnsi="Calibri" w:cs="Cambria"/>
                <w:b/>
                <w:bCs/>
                <w:i/>
                <w:sz w:val="21"/>
                <w:szCs w:val="21"/>
              </w:rPr>
              <w:t xml:space="preserve">Infrequently </w:t>
            </w:r>
            <w:r w:rsidRPr="0035509C">
              <w:rPr>
                <w:rFonts w:ascii="Calibri" w:eastAsia="Calibri" w:hAnsi="Calibri" w:cs="Cambria"/>
                <w:b/>
                <w:bCs/>
                <w:i/>
                <w:sz w:val="21"/>
                <w:szCs w:val="21"/>
              </w:rPr>
              <w:br/>
              <w:t>or Not at All</w:t>
            </w:r>
          </w:p>
        </w:tc>
        <w:tc>
          <w:tcPr>
            <w:tcW w:w="877" w:type="dxa"/>
          </w:tcPr>
          <w:p w:rsidR="0035509C" w:rsidRPr="0035509C" w:rsidRDefault="0035509C" w:rsidP="0035509C">
            <w:pPr>
              <w:widowControl w:val="0"/>
              <w:autoSpaceDE w:val="0"/>
              <w:autoSpaceDN w:val="0"/>
              <w:adjustRightInd w:val="0"/>
              <w:spacing w:after="60"/>
              <w:jc w:val="center"/>
              <w:rPr>
                <w:rFonts w:ascii="Calibri" w:eastAsia="Calibri" w:hAnsi="Calibri" w:cs="Times New Roman"/>
                <w:i/>
                <w:sz w:val="21"/>
                <w:szCs w:val="21"/>
              </w:rPr>
            </w:pPr>
            <w:r w:rsidRPr="0035509C">
              <w:rPr>
                <w:rFonts w:ascii="Calibri" w:eastAsia="Calibri" w:hAnsi="Calibri" w:cs="Cambria"/>
                <w:b/>
                <w:bCs/>
                <w:i/>
                <w:sz w:val="21"/>
                <w:szCs w:val="21"/>
              </w:rPr>
              <w:t>Yes</w:t>
            </w:r>
          </w:p>
        </w:tc>
        <w:tc>
          <w:tcPr>
            <w:tcW w:w="1121" w:type="dxa"/>
          </w:tcPr>
          <w:p w:rsidR="0035509C" w:rsidRPr="0035509C" w:rsidRDefault="0035509C" w:rsidP="0035509C">
            <w:pPr>
              <w:widowControl w:val="0"/>
              <w:autoSpaceDE w:val="0"/>
              <w:autoSpaceDN w:val="0"/>
              <w:adjustRightInd w:val="0"/>
              <w:spacing w:after="60"/>
              <w:jc w:val="center"/>
              <w:rPr>
                <w:rFonts w:ascii="Calibri" w:eastAsia="Calibri" w:hAnsi="Calibri" w:cs="Times New Roman"/>
                <w:i/>
                <w:sz w:val="21"/>
                <w:szCs w:val="21"/>
              </w:rPr>
            </w:pPr>
            <w:r w:rsidRPr="0035509C">
              <w:rPr>
                <w:rFonts w:ascii="Calibri" w:eastAsia="Calibri" w:hAnsi="Calibri" w:cs="Cambria"/>
                <w:b/>
                <w:bCs/>
                <w:i/>
                <w:sz w:val="21"/>
                <w:szCs w:val="21"/>
              </w:rPr>
              <w:t>No or N/A</w:t>
            </w:r>
          </w:p>
        </w:tc>
      </w:tr>
      <w:tr w:rsidR="0035509C" w:rsidRPr="0035509C" w:rsidTr="005709BE">
        <w:trPr>
          <w:jc w:val="center"/>
        </w:trPr>
        <w:tc>
          <w:tcPr>
            <w:tcW w:w="2780" w:type="dxa"/>
          </w:tcPr>
          <w:p w:rsidR="0035509C" w:rsidRPr="0035509C" w:rsidRDefault="0035509C" w:rsidP="0035509C">
            <w:pPr>
              <w:widowControl w:val="0"/>
              <w:autoSpaceDE w:val="0"/>
              <w:autoSpaceDN w:val="0"/>
              <w:adjustRightInd w:val="0"/>
              <w:spacing w:after="60"/>
              <w:ind w:left="-18"/>
              <w:rPr>
                <w:rFonts w:ascii="Calibri" w:eastAsia="Calibri" w:hAnsi="Calibri" w:cs="Cambria"/>
                <w:sz w:val="21"/>
                <w:szCs w:val="21"/>
              </w:rPr>
            </w:pPr>
            <w:r w:rsidRPr="0035509C">
              <w:rPr>
                <w:rFonts w:ascii="Calibri" w:eastAsia="Calibri" w:hAnsi="Calibri" w:cs="Cambria"/>
                <w:sz w:val="21"/>
                <w:szCs w:val="21"/>
              </w:rPr>
              <w:t xml:space="preserve"> </w:t>
            </w:r>
          </w:p>
          <w:p w:rsidR="0035509C" w:rsidRPr="0035509C" w:rsidRDefault="0035509C" w:rsidP="0035509C">
            <w:pPr>
              <w:widowControl w:val="0"/>
              <w:autoSpaceDE w:val="0"/>
              <w:autoSpaceDN w:val="0"/>
              <w:adjustRightInd w:val="0"/>
              <w:spacing w:after="60"/>
              <w:ind w:left="-18"/>
              <w:rPr>
                <w:rFonts w:ascii="Calibri" w:eastAsia="Calibri" w:hAnsi="Calibri" w:cs="Times New Roman"/>
                <w:sz w:val="21"/>
                <w:szCs w:val="21"/>
              </w:rPr>
            </w:pPr>
          </w:p>
        </w:tc>
        <w:tc>
          <w:tcPr>
            <w:tcW w:w="1149"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74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620"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877"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12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r>
      <w:tr w:rsidR="0035509C" w:rsidRPr="0035509C" w:rsidTr="005709BE">
        <w:trPr>
          <w:jc w:val="center"/>
        </w:trPr>
        <w:tc>
          <w:tcPr>
            <w:tcW w:w="2780" w:type="dxa"/>
          </w:tcPr>
          <w:p w:rsidR="0035509C" w:rsidRPr="0035509C" w:rsidRDefault="0035509C" w:rsidP="0035509C">
            <w:pPr>
              <w:widowControl w:val="0"/>
              <w:autoSpaceDE w:val="0"/>
              <w:autoSpaceDN w:val="0"/>
              <w:adjustRightInd w:val="0"/>
              <w:spacing w:after="60"/>
              <w:ind w:left="-18"/>
              <w:rPr>
                <w:rFonts w:ascii="Calibri" w:eastAsia="MS Gothic" w:hAnsi="Calibri" w:cs="Cambria"/>
                <w:sz w:val="21"/>
                <w:szCs w:val="21"/>
              </w:rPr>
            </w:pPr>
            <w:r w:rsidRPr="0035509C">
              <w:rPr>
                <w:rFonts w:ascii="Calibri" w:eastAsia="MS Gothic" w:hAnsi="Calibri" w:cs="Cambria"/>
                <w:sz w:val="21"/>
                <w:szCs w:val="21"/>
              </w:rPr>
              <w:t xml:space="preserve"> </w:t>
            </w:r>
          </w:p>
          <w:p w:rsidR="0035509C" w:rsidRPr="0035509C" w:rsidRDefault="0035509C" w:rsidP="0035509C">
            <w:pPr>
              <w:widowControl w:val="0"/>
              <w:autoSpaceDE w:val="0"/>
              <w:autoSpaceDN w:val="0"/>
              <w:adjustRightInd w:val="0"/>
              <w:spacing w:after="60"/>
              <w:ind w:left="-18"/>
              <w:rPr>
                <w:rFonts w:ascii="Calibri" w:eastAsia="MS Gothic" w:hAnsi="Calibri" w:cs="Times New Roman"/>
                <w:sz w:val="21"/>
                <w:szCs w:val="21"/>
              </w:rPr>
            </w:pPr>
          </w:p>
        </w:tc>
        <w:tc>
          <w:tcPr>
            <w:tcW w:w="1149"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74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620"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877"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12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r>
      <w:tr w:rsidR="0035509C" w:rsidRPr="0035509C" w:rsidTr="005709BE">
        <w:trPr>
          <w:jc w:val="center"/>
        </w:trPr>
        <w:tc>
          <w:tcPr>
            <w:tcW w:w="2780" w:type="dxa"/>
          </w:tcPr>
          <w:p w:rsidR="0035509C" w:rsidRPr="0035509C" w:rsidRDefault="0035509C" w:rsidP="0035509C">
            <w:pPr>
              <w:widowControl w:val="0"/>
              <w:autoSpaceDE w:val="0"/>
              <w:autoSpaceDN w:val="0"/>
              <w:adjustRightInd w:val="0"/>
              <w:spacing w:after="60"/>
              <w:ind w:left="-18"/>
              <w:rPr>
                <w:rFonts w:ascii="Calibri" w:eastAsia="MS Gothic" w:hAnsi="Calibri" w:cs="Cambria"/>
                <w:sz w:val="21"/>
                <w:szCs w:val="21"/>
              </w:rPr>
            </w:pPr>
            <w:r w:rsidRPr="0035509C">
              <w:rPr>
                <w:rFonts w:ascii="Calibri" w:eastAsia="MS Gothic" w:hAnsi="Calibri" w:cs="Cambria"/>
                <w:sz w:val="21"/>
                <w:szCs w:val="21"/>
              </w:rPr>
              <w:t xml:space="preserve"> </w:t>
            </w:r>
          </w:p>
          <w:p w:rsidR="0035509C" w:rsidRPr="0035509C" w:rsidRDefault="0035509C" w:rsidP="0035509C">
            <w:pPr>
              <w:widowControl w:val="0"/>
              <w:autoSpaceDE w:val="0"/>
              <w:autoSpaceDN w:val="0"/>
              <w:adjustRightInd w:val="0"/>
              <w:spacing w:after="60"/>
              <w:ind w:left="-18"/>
              <w:rPr>
                <w:rFonts w:ascii="Calibri" w:eastAsia="MS Gothic" w:hAnsi="Calibri" w:cs="Times New Roman"/>
                <w:sz w:val="21"/>
                <w:szCs w:val="21"/>
              </w:rPr>
            </w:pPr>
          </w:p>
        </w:tc>
        <w:tc>
          <w:tcPr>
            <w:tcW w:w="1149"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74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620"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877"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12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r>
      <w:tr w:rsidR="0035509C" w:rsidRPr="0035509C" w:rsidTr="005709BE">
        <w:trPr>
          <w:jc w:val="center"/>
        </w:trPr>
        <w:tc>
          <w:tcPr>
            <w:tcW w:w="2780" w:type="dxa"/>
          </w:tcPr>
          <w:p w:rsidR="0035509C" w:rsidRPr="0035509C" w:rsidRDefault="0035509C" w:rsidP="0035509C">
            <w:pPr>
              <w:widowControl w:val="0"/>
              <w:autoSpaceDE w:val="0"/>
              <w:autoSpaceDN w:val="0"/>
              <w:adjustRightInd w:val="0"/>
              <w:spacing w:after="60"/>
              <w:ind w:left="-18"/>
              <w:rPr>
                <w:rFonts w:ascii="Calibri" w:eastAsia="MS Gothic" w:hAnsi="Calibri" w:cs="Cambria"/>
                <w:sz w:val="21"/>
                <w:szCs w:val="21"/>
              </w:rPr>
            </w:pPr>
            <w:r w:rsidRPr="0035509C">
              <w:rPr>
                <w:rFonts w:ascii="Calibri" w:eastAsia="MS Gothic" w:hAnsi="Calibri" w:cs="Cambria"/>
                <w:sz w:val="21"/>
                <w:szCs w:val="21"/>
              </w:rPr>
              <w:t xml:space="preserve"> </w:t>
            </w:r>
          </w:p>
          <w:p w:rsidR="0035509C" w:rsidRPr="0035509C" w:rsidRDefault="0035509C" w:rsidP="0035509C">
            <w:pPr>
              <w:widowControl w:val="0"/>
              <w:autoSpaceDE w:val="0"/>
              <w:autoSpaceDN w:val="0"/>
              <w:adjustRightInd w:val="0"/>
              <w:spacing w:after="60"/>
              <w:ind w:left="-18"/>
              <w:rPr>
                <w:rFonts w:ascii="Calibri" w:eastAsia="MS Gothic" w:hAnsi="Calibri" w:cs="Times New Roman"/>
                <w:sz w:val="21"/>
                <w:szCs w:val="21"/>
              </w:rPr>
            </w:pPr>
          </w:p>
        </w:tc>
        <w:tc>
          <w:tcPr>
            <w:tcW w:w="1149"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74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620"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877"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12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r>
      <w:tr w:rsidR="0035509C" w:rsidRPr="0035509C" w:rsidTr="005709BE">
        <w:trPr>
          <w:jc w:val="center"/>
        </w:trPr>
        <w:tc>
          <w:tcPr>
            <w:tcW w:w="2780" w:type="dxa"/>
          </w:tcPr>
          <w:p w:rsidR="0035509C" w:rsidRPr="0035509C" w:rsidRDefault="0035509C" w:rsidP="0035509C">
            <w:pPr>
              <w:widowControl w:val="0"/>
              <w:autoSpaceDE w:val="0"/>
              <w:autoSpaceDN w:val="0"/>
              <w:adjustRightInd w:val="0"/>
              <w:spacing w:after="60"/>
              <w:ind w:left="-18"/>
              <w:rPr>
                <w:rFonts w:ascii="Calibri" w:eastAsia="MS Gothic" w:hAnsi="Calibri" w:cs="Cambria"/>
                <w:sz w:val="21"/>
                <w:szCs w:val="21"/>
              </w:rPr>
            </w:pPr>
            <w:r w:rsidRPr="0035509C">
              <w:rPr>
                <w:rFonts w:ascii="Calibri" w:eastAsia="MS Gothic" w:hAnsi="Calibri" w:cs="Cambria"/>
                <w:sz w:val="21"/>
                <w:szCs w:val="21"/>
              </w:rPr>
              <w:t xml:space="preserve"> </w:t>
            </w:r>
          </w:p>
          <w:p w:rsidR="0035509C" w:rsidRPr="0035509C" w:rsidRDefault="0035509C" w:rsidP="0035509C">
            <w:pPr>
              <w:widowControl w:val="0"/>
              <w:autoSpaceDE w:val="0"/>
              <w:autoSpaceDN w:val="0"/>
              <w:adjustRightInd w:val="0"/>
              <w:spacing w:after="60"/>
              <w:ind w:left="-18"/>
              <w:rPr>
                <w:rFonts w:ascii="Calibri" w:eastAsia="MS Gothic" w:hAnsi="Calibri" w:cs="Times New Roman"/>
                <w:sz w:val="21"/>
                <w:szCs w:val="21"/>
              </w:rPr>
            </w:pPr>
          </w:p>
        </w:tc>
        <w:tc>
          <w:tcPr>
            <w:tcW w:w="1149"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74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620"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877"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12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r>
      <w:tr w:rsidR="0035509C" w:rsidRPr="0035509C" w:rsidTr="005709BE">
        <w:trPr>
          <w:jc w:val="center"/>
        </w:trPr>
        <w:tc>
          <w:tcPr>
            <w:tcW w:w="2780" w:type="dxa"/>
          </w:tcPr>
          <w:p w:rsidR="0035509C" w:rsidRPr="0035509C" w:rsidRDefault="0035509C" w:rsidP="0035509C">
            <w:pPr>
              <w:widowControl w:val="0"/>
              <w:autoSpaceDE w:val="0"/>
              <w:autoSpaceDN w:val="0"/>
              <w:adjustRightInd w:val="0"/>
              <w:spacing w:after="60"/>
              <w:ind w:left="-18"/>
              <w:rPr>
                <w:rFonts w:ascii="Calibri" w:eastAsia="MS Gothic" w:hAnsi="Calibri" w:cs="Times New Roman"/>
                <w:sz w:val="21"/>
                <w:szCs w:val="21"/>
              </w:rPr>
            </w:pPr>
          </w:p>
          <w:p w:rsidR="0035509C" w:rsidRPr="0035509C" w:rsidRDefault="0035509C" w:rsidP="0035509C">
            <w:pPr>
              <w:widowControl w:val="0"/>
              <w:autoSpaceDE w:val="0"/>
              <w:autoSpaceDN w:val="0"/>
              <w:adjustRightInd w:val="0"/>
              <w:spacing w:after="60"/>
              <w:ind w:left="-18"/>
              <w:rPr>
                <w:rFonts w:ascii="Calibri" w:eastAsia="MS Gothic" w:hAnsi="Calibri" w:cs="Times New Roman"/>
                <w:sz w:val="21"/>
                <w:szCs w:val="21"/>
              </w:rPr>
            </w:pPr>
          </w:p>
        </w:tc>
        <w:tc>
          <w:tcPr>
            <w:tcW w:w="1149"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741"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620"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877" w:type="dxa"/>
          </w:tcPr>
          <w:p w:rsidR="0035509C" w:rsidRPr="0035509C" w:rsidRDefault="0035509C" w:rsidP="0035509C">
            <w:pPr>
              <w:widowControl w:val="0"/>
              <w:autoSpaceDE w:val="0"/>
              <w:autoSpaceDN w:val="0"/>
              <w:adjustRightInd w:val="0"/>
              <w:spacing w:after="60"/>
              <w:jc w:val="center"/>
              <w:rPr>
                <w:rFonts w:ascii="Calibri" w:eastAsia="MS Gothic" w:hAnsi="Calibri" w:cs="Times New Roman"/>
                <w:sz w:val="21"/>
                <w:szCs w:val="21"/>
              </w:rPr>
            </w:pPr>
            <w:r w:rsidRPr="0035509C">
              <w:rPr>
                <w:rFonts w:ascii="Segoe UI Symbol" w:eastAsia="MS Gothic" w:hAnsi="Segoe UI Symbol" w:cs="Segoe UI Symbol"/>
                <w:sz w:val="21"/>
                <w:szCs w:val="21"/>
              </w:rPr>
              <w:t>☐</w:t>
            </w:r>
          </w:p>
        </w:tc>
        <w:tc>
          <w:tcPr>
            <w:tcW w:w="1121" w:type="dxa"/>
          </w:tcPr>
          <w:p w:rsidR="0035509C" w:rsidRPr="0035509C" w:rsidRDefault="0035509C" w:rsidP="0035509C">
            <w:pPr>
              <w:widowControl w:val="0"/>
              <w:autoSpaceDE w:val="0"/>
              <w:autoSpaceDN w:val="0"/>
              <w:adjustRightInd w:val="0"/>
              <w:spacing w:after="60"/>
              <w:jc w:val="center"/>
              <w:rPr>
                <w:rFonts w:ascii="Calibri" w:eastAsia="MS Gothic" w:hAnsi="Calibri" w:cs="MS Gothic"/>
                <w:sz w:val="21"/>
                <w:szCs w:val="21"/>
              </w:rPr>
            </w:pPr>
            <w:r w:rsidRPr="0035509C">
              <w:rPr>
                <w:rFonts w:ascii="Segoe UI Symbol" w:eastAsia="MS Gothic" w:hAnsi="Segoe UI Symbol" w:cs="Segoe UI Symbol"/>
                <w:sz w:val="21"/>
                <w:szCs w:val="21"/>
              </w:rPr>
              <w:t>☐</w:t>
            </w:r>
          </w:p>
        </w:tc>
      </w:tr>
      <w:tr w:rsidR="0035509C" w:rsidRPr="0035509C" w:rsidTr="005709BE">
        <w:trPr>
          <w:jc w:val="center"/>
        </w:trPr>
        <w:tc>
          <w:tcPr>
            <w:tcW w:w="9288" w:type="dxa"/>
            <w:gridSpan w:val="6"/>
          </w:tcPr>
          <w:p w:rsidR="0035509C" w:rsidRPr="0035509C" w:rsidRDefault="0035509C" w:rsidP="0035509C">
            <w:pPr>
              <w:spacing w:after="60"/>
              <w:ind w:left="-18"/>
              <w:rPr>
                <w:rFonts w:ascii="Calibri" w:eastAsia="Calibri" w:hAnsi="Calibri" w:cs="Times New Roman"/>
                <w:sz w:val="21"/>
                <w:szCs w:val="21"/>
              </w:rPr>
            </w:pPr>
            <w:r w:rsidRPr="0035509C">
              <w:rPr>
                <w:rFonts w:ascii="Calibri" w:eastAsia="Calibri" w:hAnsi="Calibri" w:cs="Times New Roman"/>
                <w:sz w:val="21"/>
                <w:szCs w:val="21"/>
              </w:rPr>
              <w:t>Other comments from qualitative data collection:</w:t>
            </w:r>
          </w:p>
          <w:p w:rsidR="0035509C" w:rsidRPr="0035509C" w:rsidRDefault="0035509C" w:rsidP="0035509C">
            <w:pPr>
              <w:spacing w:after="60"/>
              <w:rPr>
                <w:rFonts w:ascii="Calibri" w:eastAsia="Calibri" w:hAnsi="Calibri" w:cs="Times New Roman"/>
                <w:sz w:val="21"/>
                <w:szCs w:val="21"/>
              </w:rPr>
            </w:pPr>
          </w:p>
          <w:p w:rsidR="0035509C" w:rsidRPr="0035509C" w:rsidRDefault="0035509C" w:rsidP="0035509C">
            <w:pPr>
              <w:spacing w:after="60"/>
              <w:rPr>
                <w:rFonts w:ascii="Calibri" w:eastAsia="Calibri" w:hAnsi="Calibri" w:cs="Times New Roman"/>
                <w:sz w:val="21"/>
                <w:szCs w:val="21"/>
              </w:rPr>
            </w:pPr>
          </w:p>
          <w:p w:rsidR="0035509C" w:rsidRPr="0035509C" w:rsidRDefault="0035509C" w:rsidP="0035509C">
            <w:pPr>
              <w:spacing w:after="60"/>
              <w:rPr>
                <w:rFonts w:ascii="Calibri" w:eastAsia="Calibri" w:hAnsi="Calibri" w:cs="Times New Roman"/>
                <w:sz w:val="21"/>
                <w:szCs w:val="21"/>
              </w:rPr>
            </w:pPr>
          </w:p>
          <w:p w:rsidR="0035509C" w:rsidRPr="0035509C" w:rsidRDefault="0035509C" w:rsidP="0035509C">
            <w:pPr>
              <w:spacing w:after="60"/>
              <w:rPr>
                <w:rFonts w:ascii="Calibri" w:eastAsia="Calibri" w:hAnsi="Calibri" w:cs="Times New Roman"/>
                <w:sz w:val="21"/>
                <w:szCs w:val="21"/>
              </w:rPr>
            </w:pPr>
          </w:p>
        </w:tc>
      </w:tr>
    </w:tbl>
    <w:p w:rsidR="0035509C" w:rsidRPr="0035509C" w:rsidRDefault="0035509C" w:rsidP="0035509C">
      <w:pPr>
        <w:spacing w:before="100" w:after="100" w:line="240" w:lineRule="auto"/>
        <w:ind w:left="720"/>
        <w:rPr>
          <w:rFonts w:ascii="Calibri" w:eastAsia="Calibri" w:hAnsi="Calibri" w:cs="Times New Roman"/>
          <w:sz w:val="24"/>
        </w:rPr>
      </w:pPr>
      <w:r w:rsidRPr="0035509C">
        <w:rPr>
          <w:rFonts w:ascii="Calibri" w:eastAsia="Calibri" w:hAnsi="Calibri" w:cs="Times New Roman"/>
          <w:b/>
          <w:sz w:val="24"/>
        </w:rPr>
        <w:t>Notes:</w:t>
      </w:r>
      <w:r w:rsidRPr="0035509C">
        <w:rPr>
          <w:rFonts w:ascii="Calibri" w:eastAsia="Calibri" w:hAnsi="Calibri" w:cs="Times New Roman"/>
          <w:sz w:val="24"/>
        </w:rPr>
        <w:t xml:space="preserve"> </w:t>
      </w:r>
    </w:p>
    <w:p w:rsidR="0035509C" w:rsidRPr="0035509C" w:rsidRDefault="0035509C" w:rsidP="0035509C">
      <w:pPr>
        <w:numPr>
          <w:ilvl w:val="0"/>
          <w:numId w:val="2"/>
        </w:numPr>
        <w:spacing w:before="100" w:after="100" w:line="240" w:lineRule="auto"/>
        <w:ind w:left="1080"/>
        <w:rPr>
          <w:rFonts w:ascii="Calibri" w:eastAsia="Calibri" w:hAnsi="Calibri" w:cs="Times New Roman"/>
          <w:sz w:val="24"/>
        </w:rPr>
      </w:pPr>
      <w:r w:rsidRPr="0035509C">
        <w:rPr>
          <w:rFonts w:ascii="Calibri" w:eastAsia="Calibri" w:hAnsi="Calibri" w:cs="Times New Roman"/>
          <w:sz w:val="24"/>
        </w:rPr>
        <w:t xml:space="preserve">A response of </w:t>
      </w:r>
      <w:r w:rsidRPr="0035509C">
        <w:rPr>
          <w:rFonts w:ascii="Calibri" w:eastAsia="Calibri" w:hAnsi="Calibri" w:cs="Times New Roman"/>
          <w:b/>
          <w:sz w:val="24"/>
        </w:rPr>
        <w:t>Frequently</w:t>
      </w:r>
      <w:r w:rsidRPr="0035509C">
        <w:rPr>
          <w:rFonts w:ascii="Calibri" w:eastAsia="Calibri" w:hAnsi="Calibri" w:cs="Times New Roman"/>
          <w:sz w:val="24"/>
        </w:rPr>
        <w:t xml:space="preserve"> means that the risk or protective factor was mentioned by half or more of the participants; </w:t>
      </w:r>
      <w:r w:rsidRPr="0035509C">
        <w:rPr>
          <w:rFonts w:ascii="Calibri" w:eastAsia="Calibri" w:hAnsi="Calibri" w:cs="Times New Roman"/>
          <w:b/>
          <w:sz w:val="24"/>
        </w:rPr>
        <w:t>Occasionally</w:t>
      </w:r>
      <w:r w:rsidRPr="0035509C">
        <w:rPr>
          <w:rFonts w:ascii="Calibri" w:eastAsia="Calibri" w:hAnsi="Calibri" w:cs="Times New Roman"/>
          <w:sz w:val="24"/>
        </w:rPr>
        <w:t xml:space="preserve"> means fewer than half but more than one-quarter; </w:t>
      </w:r>
      <w:r w:rsidRPr="0035509C">
        <w:rPr>
          <w:rFonts w:ascii="Calibri" w:eastAsia="Calibri" w:hAnsi="Calibri" w:cs="Times New Roman"/>
          <w:b/>
          <w:sz w:val="24"/>
        </w:rPr>
        <w:t>Infrequently or Not at All</w:t>
      </w:r>
      <w:r w:rsidRPr="0035509C">
        <w:rPr>
          <w:rFonts w:ascii="Calibri" w:eastAsia="Calibri" w:hAnsi="Calibri" w:cs="Times New Roman"/>
          <w:sz w:val="24"/>
        </w:rPr>
        <w:t xml:space="preserve"> means fewer than one-quarter or no mention at all. </w:t>
      </w:r>
    </w:p>
    <w:p w:rsidR="0035509C" w:rsidRPr="0035509C" w:rsidRDefault="0035509C" w:rsidP="0035509C">
      <w:pPr>
        <w:numPr>
          <w:ilvl w:val="0"/>
          <w:numId w:val="1"/>
        </w:numPr>
        <w:spacing w:before="100" w:after="100" w:line="240" w:lineRule="auto"/>
        <w:rPr>
          <w:rFonts w:ascii="Cambria" w:eastAsia="Calibri" w:hAnsi="Cambria" w:cs="Times New Roman"/>
          <w:b/>
          <w:bCs/>
          <w:caps/>
          <w:sz w:val="32"/>
          <w:szCs w:val="24"/>
        </w:rPr>
        <w:sectPr w:rsidR="0035509C" w:rsidRPr="0035509C" w:rsidSect="00AA1BD1">
          <w:pgSz w:w="12240" w:h="15840" w:code="1"/>
          <w:pgMar w:top="1440" w:right="1440" w:bottom="1440" w:left="1440" w:header="720" w:footer="720" w:gutter="0"/>
          <w:cols w:space="720"/>
          <w:docGrid w:linePitch="360"/>
        </w:sectPr>
      </w:pPr>
      <w:r w:rsidRPr="0035509C">
        <w:rPr>
          <w:rFonts w:ascii="Calibri" w:eastAsia="Calibri" w:hAnsi="Calibri" w:cs="Times New Roman"/>
          <w:sz w:val="24"/>
        </w:rPr>
        <w:t xml:space="preserve">A response of </w:t>
      </w:r>
      <w:r w:rsidRPr="0035509C">
        <w:rPr>
          <w:rFonts w:ascii="Calibri" w:eastAsia="Calibri" w:hAnsi="Calibri" w:cs="Times New Roman"/>
          <w:b/>
          <w:sz w:val="24"/>
        </w:rPr>
        <w:t>Yes</w:t>
      </w:r>
      <w:r w:rsidRPr="0035509C">
        <w:rPr>
          <w:rFonts w:ascii="Calibri" w:eastAsia="Calibri" w:hAnsi="Calibri" w:cs="Times New Roman"/>
          <w:sz w:val="24"/>
        </w:rPr>
        <w:t xml:space="preserve"> to “Supported by Quantitative Data” means that data related to the risk or protective factor are being experienced or are strongly influencing conditions in the community. </w:t>
      </w:r>
      <w:r w:rsidRPr="0035509C">
        <w:rPr>
          <w:rFonts w:ascii="Calibri" w:eastAsia="Calibri" w:hAnsi="Calibri" w:cs="Times New Roman"/>
          <w:b/>
          <w:sz w:val="24"/>
        </w:rPr>
        <w:t>No or N/A</w:t>
      </w:r>
      <w:r w:rsidRPr="0035509C">
        <w:rPr>
          <w:rFonts w:ascii="Calibri" w:eastAsia="Calibri" w:hAnsi="Calibri" w:cs="Times New Roman"/>
          <w:sz w:val="24"/>
        </w:rPr>
        <w:t xml:space="preserve"> means that either data were unavailable, or there is no clear indication that the risk or protective factor is a strong influencer of conditions in the community, or that the analysis is not applicable to your community.</w:t>
      </w:r>
    </w:p>
    <w:p w:rsidR="006B338D" w:rsidRDefault="006B338D"/>
    <w:sectPr w:rsidR="006B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967E8"/>
    <w:multiLevelType w:val="hybridMultilevel"/>
    <w:tmpl w:val="FA148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A75EEB"/>
    <w:multiLevelType w:val="hybridMultilevel"/>
    <w:tmpl w:val="589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9C"/>
    <w:rsid w:val="0035509C"/>
    <w:rsid w:val="006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E54E3-7064-468F-8F1D-A16F4AED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2016-04-01T18:52:00Z</dcterms:created>
  <dcterms:modified xsi:type="dcterms:W3CDTF">2016-04-01T18:53:00Z</dcterms:modified>
</cp:coreProperties>
</file>